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99515" w14:textId="670BEEE6" w:rsidR="00097A3D" w:rsidRDefault="00097A3D" w:rsidP="00097A3D">
      <w:pPr>
        <w:jc w:val="center"/>
        <w:rPr>
          <w:rFonts w:asciiTheme="minorHAnsi" w:eastAsia="Times New Roman" w:hAnsiTheme="minorHAnsi" w:cstheme="minorHAnsi"/>
          <w:sz w:val="22"/>
          <w:szCs w:val="22"/>
          <w:u w:val="single"/>
          <w:shd w:val="clear" w:color="auto" w:fill="FFFFFF"/>
        </w:rPr>
      </w:pPr>
      <w:r>
        <w:rPr>
          <w:rFonts w:asciiTheme="minorHAnsi" w:eastAsia="Times New Roman" w:hAnsiTheme="minorHAnsi" w:cstheme="minorHAnsi"/>
          <w:noProof/>
          <w:sz w:val="22"/>
          <w:szCs w:val="22"/>
          <w:u w:val="single"/>
          <w:shd w:val="clear" w:color="auto" w:fill="FFFFFF"/>
        </w:rPr>
        <w:drawing>
          <wp:inline distT="0" distB="0" distL="0" distR="0" wp14:anchorId="43875D4B" wp14:editId="3B115581">
            <wp:extent cx="1816100" cy="123110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892" cy="126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1D4D4" w14:textId="77777777" w:rsidR="00097A3D" w:rsidRDefault="00097A3D" w:rsidP="00097A3D">
      <w:pPr>
        <w:rPr>
          <w:rFonts w:asciiTheme="minorHAnsi" w:eastAsia="Times New Roman" w:hAnsiTheme="minorHAnsi" w:cstheme="minorHAnsi"/>
          <w:sz w:val="22"/>
          <w:szCs w:val="22"/>
          <w:u w:val="single"/>
          <w:shd w:val="clear" w:color="auto" w:fill="FFFFFF"/>
        </w:rPr>
      </w:pPr>
    </w:p>
    <w:p w14:paraId="2D14E4E6" w14:textId="2B009BB2" w:rsidR="00C70901" w:rsidRPr="00097A3D" w:rsidRDefault="00C86D4C" w:rsidP="009A4377">
      <w:pPr>
        <w:jc w:val="center"/>
        <w:rPr>
          <w:rFonts w:asciiTheme="minorHAnsi" w:eastAsia="Times New Roman" w:hAnsiTheme="minorHAnsi" w:cstheme="minorHAnsi"/>
          <w:sz w:val="22"/>
          <w:szCs w:val="22"/>
          <w:u w:val="single"/>
          <w:shd w:val="clear" w:color="auto" w:fill="FFFFFF"/>
        </w:rPr>
      </w:pPr>
      <w:bookmarkStart w:id="0" w:name="OLE_LINK1"/>
      <w:bookmarkStart w:id="1" w:name="OLE_LINK2"/>
      <w:r w:rsidRPr="00097A3D">
        <w:rPr>
          <w:rFonts w:asciiTheme="minorHAnsi" w:eastAsia="Times New Roman" w:hAnsiTheme="minorHAnsi" w:cstheme="minorHAnsi"/>
          <w:sz w:val="22"/>
          <w:szCs w:val="22"/>
          <w:u w:val="single"/>
          <w:shd w:val="clear" w:color="auto" w:fill="FFFFFF"/>
        </w:rPr>
        <w:t>Comunicato Stampa</w:t>
      </w:r>
    </w:p>
    <w:p w14:paraId="6CF01DCB" w14:textId="77777777" w:rsidR="008A5191" w:rsidRPr="00097A3D" w:rsidRDefault="008A5191">
      <w:pPr>
        <w:rPr>
          <w:rFonts w:asciiTheme="minorHAnsi" w:hAnsiTheme="minorHAnsi" w:cstheme="minorHAnsi"/>
          <w:sz w:val="32"/>
          <w:szCs w:val="32"/>
        </w:rPr>
      </w:pPr>
    </w:p>
    <w:p w14:paraId="6AB4F769" w14:textId="6B716BAD" w:rsidR="00C70901" w:rsidRPr="009A4377" w:rsidRDefault="004F5215" w:rsidP="00BE19D6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32"/>
          <w:szCs w:val="32"/>
          <w:shd w:val="clear" w:color="auto" w:fill="FFFFFF"/>
        </w:rPr>
      </w:pPr>
      <w:r w:rsidRPr="00D568A9">
        <w:rPr>
          <w:rFonts w:asciiTheme="minorHAnsi" w:eastAsia="Times New Roman" w:hAnsiTheme="minorHAnsi" w:cstheme="minorHAnsi"/>
          <w:b/>
          <w:bCs/>
          <w:sz w:val="36"/>
          <w:szCs w:val="36"/>
          <w:shd w:val="clear" w:color="auto" w:fill="FFFFFF"/>
        </w:rPr>
        <w:t>COVID, INAPP: “NOSTRI ANZIANI TRA I PIU’ COLPITI IN EUROPA</w:t>
      </w:r>
      <w:r w:rsidR="00E779A3">
        <w:rPr>
          <w:rFonts w:asciiTheme="minorHAnsi" w:eastAsia="Times New Roman" w:hAnsiTheme="minorHAnsi" w:cstheme="minorHAnsi"/>
          <w:b/>
          <w:bCs/>
          <w:sz w:val="36"/>
          <w:szCs w:val="36"/>
          <w:shd w:val="clear" w:color="auto" w:fill="FFFFFF"/>
        </w:rPr>
        <w:t>, SERVONO POLITICHE A FAVORE INVECCHIAMENTO ATTIVO</w:t>
      </w:r>
      <w:r w:rsidRPr="00D568A9">
        <w:rPr>
          <w:rFonts w:asciiTheme="minorHAnsi" w:eastAsia="Times New Roman" w:hAnsiTheme="minorHAnsi" w:cstheme="minorHAnsi"/>
          <w:b/>
          <w:bCs/>
          <w:sz w:val="36"/>
          <w:szCs w:val="36"/>
          <w:shd w:val="clear" w:color="auto" w:fill="FFFFFF"/>
        </w:rPr>
        <w:t>”</w:t>
      </w:r>
    </w:p>
    <w:p w14:paraId="42F831A8" w14:textId="4695D4B2" w:rsidR="004F5215" w:rsidRDefault="004F5215" w:rsidP="00BE19D6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shd w:val="clear" w:color="auto" w:fill="FFFFFF"/>
        </w:rPr>
      </w:pPr>
    </w:p>
    <w:p w14:paraId="1F63CF86" w14:textId="664B96B6" w:rsidR="0027757C" w:rsidRPr="009B5334" w:rsidRDefault="004F5215" w:rsidP="009A4377">
      <w:pPr>
        <w:spacing w:line="276" w:lineRule="auto"/>
        <w:jc w:val="both"/>
        <w:rPr>
          <w:rFonts w:asciiTheme="majorHAnsi" w:eastAsia="Times New Roman" w:hAnsiTheme="majorHAnsi" w:cstheme="majorHAnsi"/>
          <w:bCs/>
          <w:i/>
          <w:sz w:val="22"/>
          <w:szCs w:val="22"/>
          <w:shd w:val="clear" w:color="auto" w:fill="FFFFFF"/>
        </w:rPr>
      </w:pPr>
      <w:r w:rsidRPr="009B5334">
        <w:rPr>
          <w:rFonts w:asciiTheme="majorHAnsi" w:eastAsia="Times New Roman" w:hAnsiTheme="majorHAnsi" w:cstheme="majorHAnsi"/>
          <w:bCs/>
          <w:i/>
          <w:sz w:val="22"/>
          <w:szCs w:val="22"/>
          <w:shd w:val="clear" w:color="auto" w:fill="FFFFFF"/>
        </w:rPr>
        <w:t>Dopo la Bulgaria e insieme a Grecia e Ungheria il nostro Paese ha avuto</w:t>
      </w:r>
      <w:r w:rsidR="00CE6F5D" w:rsidRPr="009B5334">
        <w:rPr>
          <w:rFonts w:asciiTheme="majorHAnsi" w:eastAsia="Times New Roman" w:hAnsiTheme="majorHAnsi" w:cstheme="majorHAnsi"/>
          <w:bCs/>
          <w:i/>
          <w:sz w:val="22"/>
          <w:szCs w:val="22"/>
          <w:shd w:val="clear" w:color="auto" w:fill="FFFFFF"/>
        </w:rPr>
        <w:t>, prima del decollo della campagna vaccinale,</w:t>
      </w:r>
      <w:r w:rsidRPr="009B5334">
        <w:rPr>
          <w:rFonts w:asciiTheme="majorHAnsi" w:eastAsia="Times New Roman" w:hAnsiTheme="majorHAnsi" w:cstheme="majorHAnsi"/>
          <w:bCs/>
          <w:i/>
          <w:sz w:val="22"/>
          <w:szCs w:val="22"/>
          <w:shd w:val="clear" w:color="auto" w:fill="FFFFFF"/>
        </w:rPr>
        <w:t xml:space="preserve"> il pi</w:t>
      </w:r>
      <w:r w:rsidR="00D568A9" w:rsidRPr="009B5334">
        <w:rPr>
          <w:rFonts w:asciiTheme="majorHAnsi" w:eastAsia="Times New Roman" w:hAnsiTheme="majorHAnsi" w:cstheme="majorHAnsi"/>
          <w:bCs/>
          <w:i/>
          <w:sz w:val="22"/>
          <w:szCs w:val="22"/>
          <w:shd w:val="clear" w:color="auto" w:fill="FFFFFF"/>
        </w:rPr>
        <w:t xml:space="preserve">ù alto </w:t>
      </w:r>
      <w:r w:rsidR="00235C5C" w:rsidRPr="009B5334">
        <w:rPr>
          <w:rFonts w:asciiTheme="majorHAnsi" w:eastAsia="Times New Roman" w:hAnsiTheme="majorHAnsi" w:cstheme="majorHAnsi"/>
          <w:bCs/>
          <w:i/>
          <w:sz w:val="22"/>
          <w:szCs w:val="22"/>
          <w:shd w:val="clear" w:color="auto" w:fill="FFFFFF"/>
        </w:rPr>
        <w:t xml:space="preserve">tasso di letalità </w:t>
      </w:r>
      <w:r w:rsidR="00D568A9" w:rsidRPr="009B5334">
        <w:rPr>
          <w:rFonts w:asciiTheme="majorHAnsi" w:eastAsia="Times New Roman" w:hAnsiTheme="majorHAnsi" w:cstheme="majorHAnsi"/>
          <w:bCs/>
          <w:i/>
          <w:sz w:val="22"/>
          <w:szCs w:val="22"/>
          <w:shd w:val="clear" w:color="auto" w:fill="FFFFFF"/>
        </w:rPr>
        <w:t>da corona</w:t>
      </w:r>
      <w:r w:rsidRPr="009B5334">
        <w:rPr>
          <w:rFonts w:asciiTheme="majorHAnsi" w:eastAsia="Times New Roman" w:hAnsiTheme="majorHAnsi" w:cstheme="majorHAnsi"/>
          <w:bCs/>
          <w:i/>
          <w:sz w:val="22"/>
          <w:szCs w:val="22"/>
          <w:shd w:val="clear" w:color="auto" w:fill="FFFFFF"/>
        </w:rPr>
        <w:t>virus. L’</w:t>
      </w:r>
      <w:r w:rsidR="00E779A3" w:rsidRPr="009B5334">
        <w:rPr>
          <w:rFonts w:asciiTheme="majorHAnsi" w:eastAsia="Times New Roman" w:hAnsiTheme="majorHAnsi" w:cstheme="majorHAnsi"/>
          <w:bCs/>
          <w:i/>
          <w:sz w:val="22"/>
          <w:szCs w:val="22"/>
          <w:shd w:val="clear" w:color="auto" w:fill="FFFFFF"/>
        </w:rPr>
        <w:t>analisi dell’Istituto attraverso i dati del</w:t>
      </w:r>
      <w:r w:rsidRPr="009B5334">
        <w:rPr>
          <w:rFonts w:asciiTheme="majorHAnsi" w:eastAsia="Times New Roman" w:hAnsiTheme="majorHAnsi" w:cstheme="majorHAnsi"/>
          <w:bCs/>
          <w:i/>
          <w:sz w:val="22"/>
          <w:szCs w:val="22"/>
          <w:shd w:val="clear" w:color="auto" w:fill="FFFFFF"/>
        </w:rPr>
        <w:t>l’</w:t>
      </w:r>
      <w:r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 xml:space="preserve">Active </w:t>
      </w:r>
      <w:proofErr w:type="spellStart"/>
      <w:r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>Ageing</w:t>
      </w:r>
      <w:proofErr w:type="spellEnd"/>
      <w:r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 xml:space="preserve"> Index</w:t>
      </w:r>
      <w:r w:rsidRPr="009B5334">
        <w:rPr>
          <w:rFonts w:asciiTheme="majorHAnsi" w:eastAsia="Times New Roman" w:hAnsiTheme="majorHAnsi" w:cstheme="majorHAnsi"/>
          <w:bCs/>
          <w:i/>
          <w:sz w:val="22"/>
          <w:szCs w:val="22"/>
          <w:shd w:val="clear" w:color="auto" w:fill="FFFFFF"/>
        </w:rPr>
        <w:t xml:space="preserve"> </w:t>
      </w:r>
      <w:r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 xml:space="preserve">un indicatore sviluppato dalla </w:t>
      </w:r>
      <w:proofErr w:type="spellStart"/>
      <w:r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>United</w:t>
      </w:r>
      <w:proofErr w:type="spellEnd"/>
      <w:r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 xml:space="preserve"> Nations </w:t>
      </w:r>
      <w:proofErr w:type="spellStart"/>
      <w:r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>Economic</w:t>
      </w:r>
      <w:proofErr w:type="spellEnd"/>
      <w:r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>Commission</w:t>
      </w:r>
      <w:proofErr w:type="spellEnd"/>
      <w:r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 xml:space="preserve"> for Europe. Le cause? Non solo di </w:t>
      </w:r>
      <w:r w:rsidR="00E779A3"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>“</w:t>
      </w:r>
      <w:r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>salute</w:t>
      </w:r>
      <w:r w:rsidR="00E779A3"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>”</w:t>
      </w:r>
      <w:r w:rsidR="00CE6F5D"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>:</w:t>
      </w:r>
      <w:r w:rsidR="001C4595"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 xml:space="preserve"> </w:t>
      </w:r>
      <w:r w:rsidR="00E779A3"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 xml:space="preserve">i nostri anziani </w:t>
      </w:r>
      <w:r w:rsidR="001C4595"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 xml:space="preserve">sono </w:t>
      </w:r>
      <w:r w:rsidR="00E779A3"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 xml:space="preserve">più vulnerabili anche per </w:t>
      </w:r>
      <w:r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>l</w:t>
      </w:r>
      <w:r w:rsidR="00E82BAB" w:rsidRPr="009B5334">
        <w:rPr>
          <w:rFonts w:asciiTheme="majorHAnsi" w:eastAsia="Times New Roman" w:hAnsiTheme="majorHAnsi" w:cstheme="majorHAnsi"/>
          <w:bCs/>
          <w:i/>
          <w:sz w:val="22"/>
          <w:szCs w:val="22"/>
          <w:shd w:val="clear" w:color="auto" w:fill="FFFFFF"/>
        </w:rPr>
        <w:t>e differenti co</w:t>
      </w:r>
      <w:r w:rsidRPr="009B5334">
        <w:rPr>
          <w:rFonts w:asciiTheme="majorHAnsi" w:eastAsia="Times New Roman" w:hAnsiTheme="majorHAnsi" w:cstheme="majorHAnsi"/>
          <w:bCs/>
          <w:i/>
          <w:sz w:val="22"/>
          <w:szCs w:val="22"/>
          <w:shd w:val="clear" w:color="auto" w:fill="FFFFFF"/>
        </w:rPr>
        <w:t>ndizioni economiche e sociali.</w:t>
      </w:r>
    </w:p>
    <w:p w14:paraId="0D311836" w14:textId="623AA27F" w:rsidR="00BE19D6" w:rsidRPr="009B5334" w:rsidRDefault="00BE19D6" w:rsidP="00BE19D6">
      <w:pPr>
        <w:spacing w:line="276" w:lineRule="auto"/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</w:pPr>
    </w:p>
    <w:p w14:paraId="5006B3AA" w14:textId="2598B4A0" w:rsidR="00CB6423" w:rsidRPr="009B5334" w:rsidRDefault="00CB6423" w:rsidP="004F5215">
      <w:pPr>
        <w:spacing w:line="276" w:lineRule="auto"/>
        <w:jc w:val="both"/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</w:pPr>
      <w:r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>FADDA: “La pandemia ha messo in evidenza come un numero sempre maggiore di persone anziane si trovi in condizione di vulnerabilità e fragilità</w:t>
      </w:r>
      <w:r w:rsidR="00C0764F"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>, soprattutto se relegate nelle RSA o prive di adeguata assistenza domiciliare.</w:t>
      </w:r>
      <w:r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 xml:space="preserve">  </w:t>
      </w:r>
      <w:r w:rsidR="00C0764F"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 xml:space="preserve">Ma per gli anziani sono necessarie misure per favorire </w:t>
      </w:r>
      <w:r w:rsidR="009B5334"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>l’invecchiamento attivo,</w:t>
      </w:r>
      <w:r w:rsidR="00AD27CD"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 xml:space="preserve"> </w:t>
      </w:r>
      <w:r w:rsidR="00C0764F"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 xml:space="preserve">essi non possono </w:t>
      </w:r>
      <w:r w:rsidR="00AD27CD"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>essere</w:t>
      </w:r>
      <w:r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 xml:space="preserve"> solo oggetto di assistenza ma dev</w:t>
      </w:r>
      <w:r w:rsidR="00C0764F"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>ono</w:t>
      </w:r>
      <w:r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 xml:space="preserve"> tornare ad essere artefic</w:t>
      </w:r>
      <w:r w:rsidR="00C0764F"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>i</w:t>
      </w:r>
      <w:r w:rsidRPr="009B5334">
        <w:rPr>
          <w:rFonts w:asciiTheme="majorHAnsi" w:eastAsia="Times New Roman" w:hAnsiTheme="majorHAnsi" w:cstheme="majorHAnsi"/>
          <w:i/>
          <w:sz w:val="22"/>
          <w:szCs w:val="22"/>
          <w:shd w:val="clear" w:color="auto" w:fill="FFFFFF"/>
        </w:rPr>
        <w:t xml:space="preserve"> del proprio benessere”. </w:t>
      </w:r>
    </w:p>
    <w:p w14:paraId="7F71D2BB" w14:textId="77777777" w:rsidR="00CB6423" w:rsidRPr="009B5334" w:rsidRDefault="00CB6423" w:rsidP="004F5215">
      <w:pPr>
        <w:spacing w:line="276" w:lineRule="auto"/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</w:pPr>
    </w:p>
    <w:p w14:paraId="452B0BD1" w14:textId="14A87E9C" w:rsidR="00097A3D" w:rsidRPr="009B5334" w:rsidRDefault="008E78BE" w:rsidP="004F5215">
      <w:pPr>
        <w:spacing w:line="276" w:lineRule="auto"/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Roma, 9 g</w:t>
      </w:r>
      <w:r w:rsidR="00D61837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iugno 2021</w:t>
      </w:r>
      <w:r w:rsidR="0055216F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  <w:r w:rsidR="00F35AE6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–</w:t>
      </w:r>
      <w:r w:rsidR="0055216F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  <w:r w:rsidR="00F35AE6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La popolazione anziana è stata quella che ha sofferto di più durante la pandemia. La percentuale di decessi</w:t>
      </w:r>
      <w:r w:rsidR="001C11CD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rispetto ai casi di positività ufficialmente registrati</w:t>
      </w:r>
      <w:r w:rsidR="007D2296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, almeno prima del decollo definitivo della campagna vaccinale,</w:t>
      </w:r>
      <w:r w:rsidR="00F35AE6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  <w:r w:rsidR="007D2296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ha </w:t>
      </w:r>
      <w:r w:rsidR="001C11CD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continua</w:t>
      </w:r>
      <w:r w:rsidR="007D2296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to</w:t>
      </w:r>
      <w:r w:rsidR="001C11CD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a vedere </w:t>
      </w:r>
      <w:r w:rsidR="00EE5781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l’Italia</w:t>
      </w:r>
      <w:r w:rsidR="001C11CD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  <w:r w:rsidR="00B3084A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tra </w:t>
      </w:r>
      <w:r w:rsidR="001C11CD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i 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paesi più colpiti </w:t>
      </w:r>
      <w:r w:rsidR="00EE5781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in Europa</w:t>
      </w:r>
      <w:r w:rsidR="00B3084A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,</w:t>
      </w:r>
      <w:r w:rsidR="00EE5781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  <w:r w:rsidR="001C11CD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con un valore pari al 3,1</w:t>
      </w:r>
      <w:r w:rsidR="009A4377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%</w:t>
      </w:r>
      <w:r w:rsidR="001C11CD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significativamente sopra la media dell’area (2,4%)</w:t>
      </w:r>
      <w:r w:rsidR="00B3084A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. </w:t>
      </w:r>
      <w:r w:rsidR="00134047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Da q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uest</w:t>
      </w:r>
      <w:r w:rsidR="00134047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o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  <w:r w:rsidR="00134047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prende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  <w:r w:rsidR="00134047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lo spunto 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uno </w:t>
      </w:r>
      <w:r w:rsidR="004F5215" w:rsidRPr="009B5334">
        <w:rPr>
          <w:rFonts w:asciiTheme="majorHAnsi" w:eastAsia="Times New Roman" w:hAnsiTheme="majorHAnsi" w:cstheme="majorHAnsi"/>
          <w:bCs/>
          <w:sz w:val="22"/>
          <w:szCs w:val="22"/>
          <w:shd w:val="clear" w:color="auto" w:fill="FFFFFF"/>
        </w:rPr>
        <w:t>studio dell’Istituto Nazionale per l’Analisi delle Politiche Pubbliche</w:t>
      </w:r>
      <w:r w:rsidR="004F5215" w:rsidRPr="009B5334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</w:rPr>
        <w:t xml:space="preserve"> </w:t>
      </w:r>
      <w:r w:rsidR="004F5215" w:rsidRPr="009B5334">
        <w:rPr>
          <w:rFonts w:asciiTheme="majorHAnsi" w:eastAsia="Times New Roman" w:hAnsiTheme="majorHAnsi" w:cstheme="majorHAnsi"/>
          <w:bCs/>
          <w:sz w:val="22"/>
          <w:szCs w:val="22"/>
          <w:shd w:val="clear" w:color="auto" w:fill="FFFFFF"/>
        </w:rPr>
        <w:t>(INAPP) basato su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ll’indice di invecchiamento attivo (</w:t>
      </w:r>
      <w:r w:rsidR="004F5215" w:rsidRPr="009B5334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 xml:space="preserve">Active </w:t>
      </w:r>
      <w:proofErr w:type="spellStart"/>
      <w:r w:rsidR="004F5215" w:rsidRPr="009B5334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>Ageing</w:t>
      </w:r>
      <w:proofErr w:type="spellEnd"/>
      <w:r w:rsidR="004F5215" w:rsidRPr="009B5334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 xml:space="preserve"> Index – AAI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), un indicatore sviluppato dalla </w:t>
      </w:r>
      <w:proofErr w:type="spellStart"/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United</w:t>
      </w:r>
      <w:proofErr w:type="spellEnd"/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Nations </w:t>
      </w:r>
      <w:proofErr w:type="spellStart"/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Economic</w:t>
      </w:r>
      <w:proofErr w:type="spellEnd"/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  <w:proofErr w:type="spellStart"/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Commission</w:t>
      </w:r>
      <w:proofErr w:type="spellEnd"/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for Europe (UNECE) costruito da 22 indicatori individuali, raggruppati in quattro domini: occupazione, partecipazione alla vita sociale, vita indipendente, in salute e sicurezza, ambienti abilitanti per l'invecchiamento attivo. Un indice che </w:t>
      </w:r>
      <w:r w:rsidR="004B75F9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consente di 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mette</w:t>
      </w:r>
      <w:r w:rsidR="004B75F9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re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a confronto l’effetto della pandemia </w:t>
      </w:r>
      <w:r w:rsidR="00125D87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su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lla popolazione anziana dei diversi paesi europei, focalizzando l’attenzione sulle dimensioni sociali che possono aver avuto un ruolo nel determinare l’impatto del Covid-19 sulla popolazione più matura. </w:t>
      </w:r>
    </w:p>
    <w:p w14:paraId="78873BDD" w14:textId="77777777" w:rsidR="00D568A9" w:rsidRPr="009B5334" w:rsidRDefault="00D568A9" w:rsidP="004F5215">
      <w:pPr>
        <w:spacing w:line="276" w:lineRule="auto"/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</w:pPr>
    </w:p>
    <w:p w14:paraId="791124C9" w14:textId="21BD26A3" w:rsidR="00D568A9" w:rsidRPr="00097A3D" w:rsidRDefault="00D568A9" w:rsidP="004F5215">
      <w:pPr>
        <w:spacing w:line="276" w:lineRule="auto"/>
        <w:jc w:val="both"/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</w:pPr>
      <w:r w:rsidRPr="00097A3D">
        <w:rPr>
          <w:rFonts w:asciiTheme="majorHAnsi" w:hAnsiTheme="majorHAnsi" w:cstheme="majorHAnsi"/>
          <w:b/>
          <w:sz w:val="22"/>
          <w:szCs w:val="22"/>
        </w:rPr>
        <w:t>Percentuale di morti sui casi totali da Covid-19 (%)</w:t>
      </w:r>
    </w:p>
    <w:p w14:paraId="496C2219" w14:textId="5464E2A9" w:rsidR="00D568A9" w:rsidRPr="009B5334" w:rsidRDefault="00D568A9" w:rsidP="004F5215">
      <w:pPr>
        <w:spacing w:line="276" w:lineRule="auto"/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</w:pPr>
      <w:r w:rsidRPr="009B5334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3D585578" wp14:editId="699E3BAC">
            <wp:extent cx="6120130" cy="2076450"/>
            <wp:effectExtent l="0" t="0" r="13970" b="0"/>
            <wp:docPr id="1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85E8AA33-5A00-4C00-8FE4-503EB73042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92225FA" w14:textId="079775ED" w:rsidR="00D568A9" w:rsidRPr="00097A3D" w:rsidRDefault="00D568A9" w:rsidP="00D568A9">
      <w:pPr>
        <w:rPr>
          <w:rFonts w:asciiTheme="majorHAnsi" w:hAnsiTheme="majorHAnsi" w:cstheme="majorHAnsi"/>
          <w:i/>
          <w:iCs/>
          <w:sz w:val="22"/>
          <w:szCs w:val="22"/>
        </w:rPr>
      </w:pPr>
      <w:r w:rsidRPr="00097A3D">
        <w:rPr>
          <w:rFonts w:asciiTheme="majorHAnsi" w:hAnsiTheme="majorHAnsi" w:cstheme="majorHAnsi"/>
          <w:i/>
          <w:iCs/>
          <w:sz w:val="22"/>
          <w:szCs w:val="22"/>
        </w:rPr>
        <w:t xml:space="preserve">Fonte: elaborazione </w:t>
      </w:r>
      <w:r w:rsidR="00097A3D" w:rsidRPr="00097A3D">
        <w:rPr>
          <w:rFonts w:asciiTheme="majorHAnsi" w:hAnsiTheme="majorHAnsi" w:cstheme="majorHAnsi"/>
          <w:i/>
          <w:iCs/>
          <w:sz w:val="22"/>
          <w:szCs w:val="22"/>
        </w:rPr>
        <w:t xml:space="preserve">INAPP </w:t>
      </w:r>
      <w:r w:rsidRPr="00097A3D">
        <w:rPr>
          <w:rFonts w:asciiTheme="majorHAnsi" w:hAnsiTheme="majorHAnsi" w:cstheme="majorHAnsi"/>
          <w:i/>
          <w:iCs/>
          <w:sz w:val="22"/>
          <w:szCs w:val="22"/>
        </w:rPr>
        <w:t xml:space="preserve">su dati </w:t>
      </w:r>
      <w:proofErr w:type="spellStart"/>
      <w:r w:rsidRPr="00097A3D">
        <w:rPr>
          <w:rFonts w:asciiTheme="majorHAnsi" w:hAnsiTheme="majorHAnsi" w:cstheme="majorHAnsi"/>
          <w:i/>
          <w:iCs/>
          <w:sz w:val="22"/>
          <w:szCs w:val="22"/>
        </w:rPr>
        <w:t>European</w:t>
      </w:r>
      <w:proofErr w:type="spellEnd"/>
      <w:r w:rsidRPr="00097A3D">
        <w:rPr>
          <w:rFonts w:asciiTheme="majorHAnsi" w:hAnsiTheme="majorHAnsi" w:cstheme="majorHAnsi"/>
          <w:i/>
          <w:iCs/>
          <w:sz w:val="22"/>
          <w:szCs w:val="22"/>
        </w:rPr>
        <w:t xml:space="preserve"> Centre for </w:t>
      </w:r>
      <w:proofErr w:type="spellStart"/>
      <w:r w:rsidRPr="00097A3D">
        <w:rPr>
          <w:rFonts w:asciiTheme="majorHAnsi" w:hAnsiTheme="majorHAnsi" w:cstheme="majorHAnsi"/>
          <w:i/>
          <w:iCs/>
          <w:sz w:val="22"/>
          <w:szCs w:val="22"/>
        </w:rPr>
        <w:t>Disease</w:t>
      </w:r>
      <w:proofErr w:type="spellEnd"/>
      <w:r w:rsidRPr="00097A3D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097A3D">
        <w:rPr>
          <w:rFonts w:asciiTheme="majorHAnsi" w:hAnsiTheme="majorHAnsi" w:cstheme="majorHAnsi"/>
          <w:i/>
          <w:iCs/>
          <w:sz w:val="22"/>
          <w:szCs w:val="22"/>
        </w:rPr>
        <w:t>Prevention</w:t>
      </w:r>
      <w:proofErr w:type="spellEnd"/>
      <w:r w:rsidRPr="00097A3D">
        <w:rPr>
          <w:rFonts w:asciiTheme="majorHAnsi" w:hAnsiTheme="majorHAnsi" w:cstheme="majorHAnsi"/>
          <w:i/>
          <w:iCs/>
          <w:sz w:val="22"/>
          <w:szCs w:val="22"/>
        </w:rPr>
        <w:t xml:space="preserve"> and Control</w:t>
      </w:r>
      <w:r w:rsidR="00811610" w:rsidRPr="00097A3D">
        <w:rPr>
          <w:rFonts w:asciiTheme="majorHAnsi" w:hAnsiTheme="majorHAnsi" w:cstheme="majorHAnsi"/>
          <w:i/>
          <w:iCs/>
          <w:sz w:val="22"/>
          <w:szCs w:val="22"/>
        </w:rPr>
        <w:t>, 19 marzo 2021</w:t>
      </w:r>
    </w:p>
    <w:p w14:paraId="08CD9932" w14:textId="527AD746" w:rsidR="00CA50E6" w:rsidRPr="009B5334" w:rsidRDefault="00CA50E6" w:rsidP="004F5215">
      <w:pPr>
        <w:spacing w:line="276" w:lineRule="auto"/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</w:pPr>
    </w:p>
    <w:p w14:paraId="4DA1768A" w14:textId="340599C7" w:rsidR="00CA50E6" w:rsidRPr="009B5334" w:rsidRDefault="00CA50E6" w:rsidP="004F5215">
      <w:pPr>
        <w:spacing w:line="276" w:lineRule="auto"/>
        <w:jc w:val="both"/>
        <w:rPr>
          <w:rFonts w:asciiTheme="majorHAnsi" w:eastAsia="Times New Roman" w:hAnsiTheme="majorHAnsi" w:cstheme="majorHAnsi"/>
          <w:strike/>
          <w:sz w:val="22"/>
          <w:szCs w:val="22"/>
          <w:shd w:val="clear" w:color="auto" w:fill="FFFFFF"/>
        </w:rPr>
      </w:pPr>
      <w:r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“La pandemia ha messo in evidenza come un numero sempre maggiore di persone anziane si trovi in condizione di vulnerabilità e fragilità – ha spiegato il prof. </w:t>
      </w:r>
      <w:r w:rsidRPr="009B5334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 xml:space="preserve">Sebastiano </w:t>
      </w:r>
      <w:proofErr w:type="spellStart"/>
      <w:r w:rsidRPr="009B5334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>Fadda</w:t>
      </w:r>
      <w:proofErr w:type="spellEnd"/>
      <w:r w:rsidR="00D427EB" w:rsidRPr="009B5334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>,</w:t>
      </w:r>
      <w:r w:rsidRPr="009B5334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D427EB" w:rsidRPr="009B5334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>p</w:t>
      </w:r>
      <w:r w:rsidRPr="009B5334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</w:rPr>
        <w:t>residente INAPP</w:t>
      </w:r>
      <w:r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– </w:t>
      </w:r>
      <w:r w:rsidR="00CB5CB8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A</w:t>
      </w:r>
      <w:r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ll’aumento dell’aspettativa di vita nel nostro Paese non è corrisposto un </w:t>
      </w:r>
      <w:r w:rsidR="00EF0DEA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ugual </w:t>
      </w:r>
      <w:r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miglioramento delle condizioni economiche e sociali delle perso</w:t>
      </w:r>
      <w:r w:rsidR="00D427EB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ne anziane</w:t>
      </w:r>
      <w:r w:rsidR="00135D9A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,</w:t>
      </w:r>
      <w:r w:rsidR="00D427EB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che vengono assistite</w:t>
      </w:r>
      <w:r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principalmente </w:t>
      </w:r>
      <w:r w:rsidR="003F716E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quando</w:t>
      </w:r>
      <w:r w:rsidR="00CB5CB8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  <w:r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non autosufficienti (attraverso l’indennità di accompagnamento</w:t>
      </w:r>
      <w:r w:rsidR="00F07600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, </w:t>
      </w:r>
      <w:r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  <w:r w:rsidR="00D427EB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l</w:t>
      </w:r>
      <w:r w:rsidR="00125D87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’assistenza</w:t>
      </w:r>
      <w:r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domiciliar</w:t>
      </w:r>
      <w:r w:rsidR="00125D87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e</w:t>
      </w:r>
      <w:r w:rsidR="00F07600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e il ricovero nelle RSA</w:t>
      </w:r>
      <w:r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)</w:t>
      </w:r>
      <w:r w:rsidR="00135D9A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, mentre il problema che va risolto è quello di mantenere a lungo in salute, sia fisica che psichica, le persone anziane. </w:t>
      </w:r>
      <w:r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  <w:r w:rsidR="00CB5CB8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A questo scopo è necessario sviluppare un sistema organico di </w:t>
      </w:r>
      <w:r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politiche di sostegno all’invecchiamento attivo.</w:t>
      </w:r>
      <w:r w:rsidR="00D427EB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  <w:r w:rsidR="004808E7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Prevenzione sul piano sanitario, diete salutari, esercizio fisico, mantenimento di attività cogniti</w:t>
      </w:r>
      <w:r w:rsidR="009B5334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ve, fruizione attiva del tempo </w:t>
      </w:r>
      <w:r w:rsidR="004808E7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libero, relazioni sociali ed affettive, transizioni graduali verso l’abbandono d</w:t>
      </w:r>
      <w:r w:rsidR="00F07600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egli</w:t>
      </w:r>
      <w:r w:rsidR="004808E7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impegni lavorativi</w:t>
      </w:r>
      <w:r w:rsidR="00F07600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costituiscono assi su cui sviluppare concrete politiche di sostegno.</w:t>
      </w:r>
      <w:r w:rsidR="004808E7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  <w:r w:rsidR="00EF0DEA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Q</w:t>
      </w:r>
      <w:r w:rsidR="00D427EB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uesta dovrebbe</w:t>
      </w:r>
      <w:r w:rsidR="009B5334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essere la strada da perseguire</w:t>
      </w:r>
      <w:r w:rsidR="00D427EB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  <w:r w:rsidR="00F07600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perché l’</w:t>
      </w:r>
      <w:r w:rsidR="00D427EB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anziano </w:t>
      </w:r>
      <w:r w:rsidR="00F07600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continui </w:t>
      </w:r>
      <w:r w:rsidR="00D427EB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ad essere artefice del</w:t>
      </w:r>
      <w:r w:rsidR="00F07600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  <w:r w:rsidR="00D427EB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propri</w:t>
      </w:r>
      <w:r w:rsidR="005C322F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o benessere</w:t>
      </w:r>
      <w:r w:rsidR="00F07600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  <w:r w:rsidR="00D427EB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e non solo </w:t>
      </w:r>
      <w:r w:rsidR="00EF0DEA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oggetto di assistenza. </w:t>
      </w:r>
      <w:r w:rsidR="00F07600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Purtroppo</w:t>
      </w:r>
      <w:r w:rsidR="005C322F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, come l</w:t>
      </w:r>
      <w:r w:rsidR="00EF0DEA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o studio dell’</w:t>
      </w:r>
      <w:proofErr w:type="spellStart"/>
      <w:r w:rsidR="00EF0DEA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Inapp</w:t>
      </w:r>
      <w:proofErr w:type="spellEnd"/>
      <w:r w:rsidR="00EF0DEA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dimostra</w:t>
      </w:r>
      <w:r w:rsidR="005C322F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,</w:t>
      </w:r>
      <w:r w:rsidR="00EF0DEA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le differenti condizioni economiche e sociali </w:t>
      </w:r>
      <w:r w:rsidR="005C322F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incidono pesantemente su queste variabili e sugli effetti de</w:t>
      </w:r>
      <w:r w:rsidR="009B5334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lla pandemia sui nostri anziani”</w:t>
      </w:r>
      <w:r w:rsidR="009B5334" w:rsidRPr="009B5334">
        <w:rPr>
          <w:rFonts w:asciiTheme="majorHAnsi" w:hAnsiTheme="majorHAnsi" w:cstheme="majorHAnsi"/>
          <w:strike/>
          <w:sz w:val="22"/>
          <w:szCs w:val="22"/>
        </w:rPr>
        <w:t>.</w:t>
      </w:r>
    </w:p>
    <w:p w14:paraId="120A469F" w14:textId="2F440AAB" w:rsidR="004F5215" w:rsidRPr="009B5334" w:rsidRDefault="004F5215" w:rsidP="004F5215">
      <w:pPr>
        <w:spacing w:line="276" w:lineRule="auto"/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</w:pPr>
    </w:p>
    <w:p w14:paraId="47DD8E0F" w14:textId="1F0DF174" w:rsidR="00BE19D6" w:rsidRDefault="001C4595" w:rsidP="00CB6423">
      <w:pPr>
        <w:spacing w:line="276" w:lineRule="auto"/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</w:pPr>
      <w:r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In particolare</w:t>
      </w:r>
      <w:r w:rsidR="005A7DAA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,</w:t>
      </w:r>
      <w:r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l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’in</w:t>
      </w:r>
      <w:r w:rsidR="009B5334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dicatore considerato dall’INAPP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  <w:r w:rsidR="005A7DAA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consiste nel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l</w:t>
      </w:r>
      <w:r w:rsidR="009A4377" w:rsidRPr="009B5334">
        <w:rPr>
          <w:rFonts w:asciiTheme="majorHAnsi" w:hAnsiTheme="majorHAnsi" w:cstheme="majorHAnsi"/>
          <w:sz w:val="22"/>
          <w:szCs w:val="22"/>
        </w:rPr>
        <w:t>’Indice di Invecchiamento a</w:t>
      </w:r>
      <w:r w:rsidR="004F5215" w:rsidRPr="009B5334">
        <w:rPr>
          <w:rFonts w:asciiTheme="majorHAnsi" w:hAnsiTheme="majorHAnsi" w:cstheme="majorHAnsi"/>
          <w:sz w:val="22"/>
          <w:szCs w:val="22"/>
        </w:rPr>
        <w:t xml:space="preserve">ttivo </w:t>
      </w:r>
      <w:r w:rsidR="005A7DAA" w:rsidRPr="009B5334">
        <w:rPr>
          <w:rFonts w:asciiTheme="majorHAnsi" w:hAnsiTheme="majorHAnsi" w:cstheme="majorHAnsi"/>
          <w:sz w:val="22"/>
          <w:szCs w:val="22"/>
        </w:rPr>
        <w:t xml:space="preserve">di cui sopra, </w:t>
      </w:r>
      <w:r w:rsidR="0069656D" w:rsidRPr="009B5334">
        <w:rPr>
          <w:rFonts w:asciiTheme="majorHAnsi" w:hAnsiTheme="majorHAnsi" w:cstheme="majorHAnsi"/>
          <w:sz w:val="22"/>
          <w:szCs w:val="22"/>
        </w:rPr>
        <w:t xml:space="preserve">che </w:t>
      </w:r>
      <w:r w:rsidR="004F5215" w:rsidRPr="009B5334">
        <w:rPr>
          <w:rFonts w:asciiTheme="majorHAnsi" w:hAnsiTheme="majorHAnsi" w:cstheme="majorHAnsi"/>
          <w:sz w:val="22"/>
          <w:szCs w:val="22"/>
        </w:rPr>
        <w:t xml:space="preserve">include alcune 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dimensioni relative allo stile di vita, come l’esercizio fisico e la vita indipendente; ma, anche a concrete possibilità individuali, come il reddito, l’accesso alle cure, l’assenza di rischio </w:t>
      </w:r>
      <w:r w:rsidR="00F91BB8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di 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povertà o la possibilità di accedere ad opportunità formative. Confrontando il tasso di letalità da Covid-19 con questi indicatori </w:t>
      </w:r>
      <w:r w:rsidR="005A7DAA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nei vari paesi 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– si sottolinea nello studio - si rileva una correlazione negativa che, in sintesi, mostra come al </w:t>
      </w:r>
      <w:r w:rsidR="0069656D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miglioramento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di tali fattori diminuisca, anche se lievemente, l’impatto </w:t>
      </w:r>
      <w:r w:rsidR="00951C83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letale 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della pandemia. Lo studio rileva inoltre come </w:t>
      </w:r>
      <w:r w:rsidR="00956973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la fotografia scattata dall’indicatore 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non </w:t>
      </w:r>
      <w:r w:rsidR="009B5334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dia risultati uguali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  <w:r w:rsidR="00956973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per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tutta la popolazione anziana. </w:t>
      </w:r>
      <w:r w:rsidR="00BA39D6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L’indice sintetico di invecchiamento attivo mostra differenziali negativi per le donne, ma n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on meno importanti sono le differenze territoriali e quelle relative ai livelli di </w:t>
      </w:r>
      <w:r w:rsidR="004F5215" w:rsidRPr="009B5334">
        <w:rPr>
          <w:rFonts w:asciiTheme="majorHAnsi" w:eastAsia="Times New Roman" w:hAnsiTheme="majorHAnsi" w:cstheme="majorHAnsi"/>
          <w:bCs/>
          <w:sz w:val="22"/>
          <w:szCs w:val="22"/>
          <w:shd w:val="clear" w:color="auto" w:fill="FFFFFF"/>
        </w:rPr>
        <w:t>istruzione</w:t>
      </w:r>
      <w:r w:rsidR="00BA39D6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. T</w:t>
      </w:r>
      <w:r w:rsidR="009D1667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ra il 2007 e il 2016</w:t>
      </w:r>
      <w:r w:rsidR="005A7DAA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, per esempio, 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l’indic</w:t>
      </w:r>
      <w:r w:rsidR="00BA39D6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e sintetico </w:t>
      </w:r>
      <w:r w:rsidR="009B5334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mostra 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un miglioramento di 2,1 punti nelle regioni del Nord, ma solo di 1,1 al Centro e 0,7 al Sud. Per quanto riguarda il titolo di studio, ad un livello basso (che include la licenza media) è corrisposto un miglioramento di 1 punto; ad uno intermedio (diploma di maturità o equivalente) un avanzamento di 1,6 punti; ad uno elevato (livello universitario) un incremento di 1,8. Anche il </w:t>
      </w:r>
      <w:r w:rsidR="004F5215" w:rsidRPr="009B5334">
        <w:rPr>
          <w:rFonts w:asciiTheme="majorHAnsi" w:eastAsia="Times New Roman" w:hAnsiTheme="majorHAnsi" w:cstheme="majorHAnsi"/>
          <w:bCs/>
          <w:sz w:val="22"/>
          <w:szCs w:val="22"/>
          <w:shd w:val="clear" w:color="auto" w:fill="FFFFFF"/>
        </w:rPr>
        <w:t>reddito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mostra di avere avuto una influenza più significativa, se si pensa che ad un livello basso è corrisposto</w:t>
      </w:r>
      <w:r w:rsidR="00E94E8E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, sempre tra il 2007 e il 201</w:t>
      </w:r>
      <w:r w:rsidR="0069656D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6,</w:t>
      </w:r>
      <w:r w:rsidR="004F521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addirittura un peggioramento di 1,2 punti, mentre a livello intermedio il decremento è stato di soli 0,1 punti.</w:t>
      </w:r>
      <w:r w:rsidR="00BA39D6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Il miglioramento dell’indice si verifica soltanto nella fascia reddituale più alta.</w:t>
      </w:r>
      <w:r w:rsidR="00A1417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Ciò mostra come molto ancora nel nostro paese sia necessario fare per ottenere un migliorame</w:t>
      </w:r>
      <w:r w:rsid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nto dell’invecchiamento attivo </w:t>
      </w:r>
      <w:r w:rsidR="00A14175" w:rsidRPr="009B533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diffuso in tutta la popolazione.</w:t>
      </w:r>
    </w:p>
    <w:p w14:paraId="74F4AD41" w14:textId="69A786B4" w:rsidR="008E78BE" w:rsidRDefault="008E78BE" w:rsidP="00CB6423">
      <w:pPr>
        <w:spacing w:line="276" w:lineRule="auto"/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</w:pPr>
    </w:p>
    <w:p w14:paraId="5AE79D67" w14:textId="75717954" w:rsidR="008E78BE" w:rsidRPr="009B5334" w:rsidRDefault="008E78BE" w:rsidP="00CB642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Si allega lo studio completo.</w:t>
      </w:r>
    </w:p>
    <w:p w14:paraId="42716001" w14:textId="6C7AFA5B" w:rsidR="00951C83" w:rsidRPr="009B5334" w:rsidRDefault="00951C83" w:rsidP="00CB6423">
      <w:pPr>
        <w:spacing w:line="276" w:lineRule="auto"/>
        <w:jc w:val="both"/>
        <w:rPr>
          <w:rFonts w:asciiTheme="majorHAnsi" w:hAnsiTheme="majorHAnsi" w:cstheme="majorHAnsi"/>
          <w:iCs/>
          <w:sz w:val="22"/>
          <w:szCs w:val="22"/>
        </w:rPr>
      </w:pPr>
    </w:p>
    <w:p w14:paraId="44E36560" w14:textId="67672AA1" w:rsidR="009B5334" w:rsidRPr="009B5334" w:rsidRDefault="009B5334" w:rsidP="00CB6423">
      <w:pPr>
        <w:spacing w:line="276" w:lineRule="auto"/>
        <w:jc w:val="both"/>
        <w:rPr>
          <w:rFonts w:asciiTheme="majorHAnsi" w:hAnsiTheme="majorHAnsi" w:cstheme="majorHAnsi"/>
          <w:iCs/>
          <w:sz w:val="22"/>
          <w:szCs w:val="22"/>
        </w:rPr>
      </w:pPr>
      <w:r w:rsidRPr="009B5334">
        <w:rPr>
          <w:rFonts w:asciiTheme="majorHAnsi" w:hAnsiTheme="majorHAnsi" w:cstheme="majorHAnsi"/>
          <w:iCs/>
          <w:sz w:val="22"/>
          <w:szCs w:val="22"/>
        </w:rPr>
        <w:t>Per maggiori informazioni:</w:t>
      </w:r>
    </w:p>
    <w:p w14:paraId="7BDB599F" w14:textId="290A219F" w:rsidR="009B5334" w:rsidRPr="009B5334" w:rsidRDefault="009B5334" w:rsidP="00CB6423">
      <w:pPr>
        <w:spacing w:line="276" w:lineRule="auto"/>
        <w:jc w:val="both"/>
        <w:rPr>
          <w:rFonts w:asciiTheme="majorHAnsi" w:hAnsiTheme="majorHAnsi" w:cstheme="majorHAnsi"/>
          <w:iCs/>
          <w:sz w:val="22"/>
          <w:szCs w:val="22"/>
        </w:rPr>
      </w:pPr>
    </w:p>
    <w:p w14:paraId="04B8AA28" w14:textId="6C286884" w:rsidR="009B5334" w:rsidRPr="009B5334" w:rsidRDefault="009B5334" w:rsidP="00CB6423">
      <w:pPr>
        <w:spacing w:line="276" w:lineRule="auto"/>
        <w:jc w:val="both"/>
        <w:rPr>
          <w:rFonts w:asciiTheme="majorHAnsi" w:hAnsiTheme="majorHAnsi" w:cstheme="majorHAnsi"/>
          <w:iCs/>
          <w:sz w:val="22"/>
          <w:szCs w:val="22"/>
        </w:rPr>
      </w:pPr>
      <w:r w:rsidRPr="009B5334">
        <w:rPr>
          <w:rFonts w:asciiTheme="majorHAnsi" w:hAnsiTheme="majorHAnsi" w:cstheme="majorHAnsi"/>
          <w:iCs/>
          <w:sz w:val="22"/>
          <w:szCs w:val="22"/>
        </w:rPr>
        <w:t xml:space="preserve">Giancarlo Salemi </w:t>
      </w:r>
    </w:p>
    <w:p w14:paraId="653E6FC9" w14:textId="76BB8768" w:rsidR="009B5334" w:rsidRPr="009B5334" w:rsidRDefault="009B5334" w:rsidP="00CB6423">
      <w:pPr>
        <w:spacing w:line="276" w:lineRule="auto"/>
        <w:jc w:val="both"/>
        <w:rPr>
          <w:rFonts w:asciiTheme="majorHAnsi" w:hAnsiTheme="majorHAnsi" w:cstheme="majorHAnsi"/>
          <w:iCs/>
          <w:sz w:val="22"/>
          <w:szCs w:val="22"/>
        </w:rPr>
      </w:pPr>
      <w:r w:rsidRPr="009B5334">
        <w:rPr>
          <w:rFonts w:asciiTheme="majorHAnsi" w:hAnsiTheme="majorHAnsi" w:cstheme="majorHAnsi"/>
          <w:iCs/>
          <w:sz w:val="22"/>
          <w:szCs w:val="22"/>
        </w:rPr>
        <w:t xml:space="preserve">Portavoce presidente </w:t>
      </w:r>
      <w:proofErr w:type="spellStart"/>
      <w:r w:rsidRPr="009B5334">
        <w:rPr>
          <w:rFonts w:asciiTheme="majorHAnsi" w:hAnsiTheme="majorHAnsi" w:cstheme="majorHAnsi"/>
          <w:iCs/>
          <w:sz w:val="22"/>
          <w:szCs w:val="22"/>
        </w:rPr>
        <w:t>Inapp</w:t>
      </w:r>
      <w:proofErr w:type="spellEnd"/>
      <w:r w:rsidRPr="009B5334">
        <w:rPr>
          <w:rFonts w:asciiTheme="majorHAnsi" w:hAnsiTheme="majorHAnsi" w:cstheme="majorHAnsi"/>
          <w:iCs/>
          <w:sz w:val="22"/>
          <w:szCs w:val="22"/>
        </w:rPr>
        <w:t xml:space="preserve"> (347 6312823)</w:t>
      </w:r>
    </w:p>
    <w:p w14:paraId="13469380" w14:textId="15954C93" w:rsidR="009B5334" w:rsidRPr="009B5334" w:rsidRDefault="009B5334" w:rsidP="00CB6423">
      <w:pPr>
        <w:spacing w:line="276" w:lineRule="auto"/>
        <w:jc w:val="both"/>
        <w:rPr>
          <w:rFonts w:asciiTheme="majorHAnsi" w:hAnsiTheme="majorHAnsi" w:cstheme="majorHAnsi"/>
          <w:iCs/>
          <w:sz w:val="22"/>
          <w:szCs w:val="22"/>
        </w:rPr>
      </w:pPr>
    </w:p>
    <w:p w14:paraId="1BA76A49" w14:textId="4CC6B867" w:rsidR="009B5334" w:rsidRPr="009B5334" w:rsidRDefault="00F26A6B" w:rsidP="00CB6423">
      <w:pPr>
        <w:spacing w:line="276" w:lineRule="auto"/>
        <w:jc w:val="both"/>
        <w:rPr>
          <w:rFonts w:asciiTheme="majorHAnsi" w:hAnsiTheme="majorHAnsi" w:cstheme="majorHAnsi"/>
          <w:iCs/>
          <w:sz w:val="22"/>
          <w:szCs w:val="22"/>
        </w:rPr>
      </w:pPr>
      <w:hyperlink r:id="rId8" w:history="1">
        <w:r w:rsidR="00097A3D" w:rsidRPr="00136473">
          <w:rPr>
            <w:rStyle w:val="Collegamentoipertestuale"/>
            <w:rFonts w:asciiTheme="majorHAnsi" w:hAnsiTheme="majorHAnsi" w:cstheme="majorHAnsi"/>
            <w:iCs/>
            <w:sz w:val="22"/>
            <w:szCs w:val="22"/>
          </w:rPr>
          <w:t>stampa@inapp.org</w:t>
        </w:r>
      </w:hyperlink>
      <w:r w:rsidR="00097A3D">
        <w:rPr>
          <w:rFonts w:asciiTheme="majorHAnsi" w:hAnsiTheme="majorHAnsi" w:cstheme="majorHAnsi"/>
          <w:iCs/>
          <w:sz w:val="22"/>
          <w:szCs w:val="22"/>
        </w:rPr>
        <w:t xml:space="preserve"> </w:t>
      </w:r>
      <w:bookmarkEnd w:id="0"/>
      <w:bookmarkEnd w:id="1"/>
    </w:p>
    <w:sectPr w:rsidR="009B5334" w:rsidRPr="009B5334" w:rsidSect="00097A3D">
      <w:pgSz w:w="11906" w:h="16838"/>
      <w:pgMar w:top="7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B861F" w14:textId="77777777" w:rsidR="00404C2F" w:rsidRDefault="00404C2F" w:rsidP="00502C0F">
      <w:r>
        <w:separator/>
      </w:r>
    </w:p>
  </w:endnote>
  <w:endnote w:type="continuationSeparator" w:id="0">
    <w:p w14:paraId="52401471" w14:textId="77777777" w:rsidR="00404C2F" w:rsidRDefault="00404C2F" w:rsidP="0050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678C5" w14:textId="77777777" w:rsidR="00404C2F" w:rsidRDefault="00404C2F" w:rsidP="00502C0F">
      <w:r>
        <w:separator/>
      </w:r>
    </w:p>
  </w:footnote>
  <w:footnote w:type="continuationSeparator" w:id="0">
    <w:p w14:paraId="08E7D4C0" w14:textId="77777777" w:rsidR="00404C2F" w:rsidRDefault="00404C2F" w:rsidP="00502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0E5"/>
    <w:rsid w:val="00002147"/>
    <w:rsid w:val="00003DEA"/>
    <w:rsid w:val="00025EBC"/>
    <w:rsid w:val="00027F08"/>
    <w:rsid w:val="00033EA7"/>
    <w:rsid w:val="00053706"/>
    <w:rsid w:val="00073159"/>
    <w:rsid w:val="00076952"/>
    <w:rsid w:val="00097A3D"/>
    <w:rsid w:val="000A194F"/>
    <w:rsid w:val="000B2EAB"/>
    <w:rsid w:val="000C08EA"/>
    <w:rsid w:val="000C2AC9"/>
    <w:rsid w:val="000C523D"/>
    <w:rsid w:val="000E6547"/>
    <w:rsid w:val="000E7D39"/>
    <w:rsid w:val="00106168"/>
    <w:rsid w:val="00125D87"/>
    <w:rsid w:val="00134047"/>
    <w:rsid w:val="00135D9A"/>
    <w:rsid w:val="0014691A"/>
    <w:rsid w:val="00157BE5"/>
    <w:rsid w:val="001776F3"/>
    <w:rsid w:val="001868DE"/>
    <w:rsid w:val="00193594"/>
    <w:rsid w:val="001962CD"/>
    <w:rsid w:val="001C11CD"/>
    <w:rsid w:val="001C4595"/>
    <w:rsid w:val="002057DE"/>
    <w:rsid w:val="00235C5C"/>
    <w:rsid w:val="00252908"/>
    <w:rsid w:val="00260F6B"/>
    <w:rsid w:val="00261D30"/>
    <w:rsid w:val="0026237A"/>
    <w:rsid w:val="0027757C"/>
    <w:rsid w:val="002909A4"/>
    <w:rsid w:val="002A4FA5"/>
    <w:rsid w:val="002A5E82"/>
    <w:rsid w:val="002A62B5"/>
    <w:rsid w:val="002B7FFC"/>
    <w:rsid w:val="002D0E60"/>
    <w:rsid w:val="002E3184"/>
    <w:rsid w:val="002E5D3F"/>
    <w:rsid w:val="00350E0F"/>
    <w:rsid w:val="00370DE7"/>
    <w:rsid w:val="00392A37"/>
    <w:rsid w:val="003A5423"/>
    <w:rsid w:val="003A7527"/>
    <w:rsid w:val="003D003E"/>
    <w:rsid w:val="003D7FB3"/>
    <w:rsid w:val="003E0BE8"/>
    <w:rsid w:val="003E0E43"/>
    <w:rsid w:val="003E1324"/>
    <w:rsid w:val="003E6076"/>
    <w:rsid w:val="003F3ED8"/>
    <w:rsid w:val="003F716E"/>
    <w:rsid w:val="00404C2F"/>
    <w:rsid w:val="00423F7C"/>
    <w:rsid w:val="004336A9"/>
    <w:rsid w:val="00456926"/>
    <w:rsid w:val="00464E15"/>
    <w:rsid w:val="004808E7"/>
    <w:rsid w:val="004B336A"/>
    <w:rsid w:val="004B75F9"/>
    <w:rsid w:val="004D13CA"/>
    <w:rsid w:val="004E7CC0"/>
    <w:rsid w:val="004F5215"/>
    <w:rsid w:val="00502C0F"/>
    <w:rsid w:val="005060D7"/>
    <w:rsid w:val="00521F6B"/>
    <w:rsid w:val="00534B40"/>
    <w:rsid w:val="00543437"/>
    <w:rsid w:val="0055216F"/>
    <w:rsid w:val="005530E5"/>
    <w:rsid w:val="00567839"/>
    <w:rsid w:val="00581851"/>
    <w:rsid w:val="00594A1B"/>
    <w:rsid w:val="005A7DAA"/>
    <w:rsid w:val="005B017B"/>
    <w:rsid w:val="005C322F"/>
    <w:rsid w:val="005C3F20"/>
    <w:rsid w:val="005E3415"/>
    <w:rsid w:val="005F547A"/>
    <w:rsid w:val="00604FD4"/>
    <w:rsid w:val="00611D3A"/>
    <w:rsid w:val="006165A3"/>
    <w:rsid w:val="00620712"/>
    <w:rsid w:val="006326A6"/>
    <w:rsid w:val="00644B9C"/>
    <w:rsid w:val="006458AA"/>
    <w:rsid w:val="00651F4A"/>
    <w:rsid w:val="0065763E"/>
    <w:rsid w:val="00685C99"/>
    <w:rsid w:val="006901BB"/>
    <w:rsid w:val="0069656D"/>
    <w:rsid w:val="00696D37"/>
    <w:rsid w:val="006B6A04"/>
    <w:rsid w:val="006C6C1F"/>
    <w:rsid w:val="006E3256"/>
    <w:rsid w:val="006F6ED2"/>
    <w:rsid w:val="006F7091"/>
    <w:rsid w:val="007114EF"/>
    <w:rsid w:val="00712298"/>
    <w:rsid w:val="00776D40"/>
    <w:rsid w:val="007847FC"/>
    <w:rsid w:val="00785CF8"/>
    <w:rsid w:val="007B3484"/>
    <w:rsid w:val="007C288F"/>
    <w:rsid w:val="007D2296"/>
    <w:rsid w:val="007F23D5"/>
    <w:rsid w:val="00801747"/>
    <w:rsid w:val="00811610"/>
    <w:rsid w:val="00817301"/>
    <w:rsid w:val="008A5191"/>
    <w:rsid w:val="008D60CE"/>
    <w:rsid w:val="008E78BE"/>
    <w:rsid w:val="008F19B4"/>
    <w:rsid w:val="008F296F"/>
    <w:rsid w:val="008F74E6"/>
    <w:rsid w:val="0091563A"/>
    <w:rsid w:val="00920B7D"/>
    <w:rsid w:val="00951C83"/>
    <w:rsid w:val="00952243"/>
    <w:rsid w:val="00956973"/>
    <w:rsid w:val="00964380"/>
    <w:rsid w:val="0097016D"/>
    <w:rsid w:val="009708CE"/>
    <w:rsid w:val="00973C09"/>
    <w:rsid w:val="009A4377"/>
    <w:rsid w:val="009B1023"/>
    <w:rsid w:val="009B2046"/>
    <w:rsid w:val="009B5334"/>
    <w:rsid w:val="009D1667"/>
    <w:rsid w:val="00A14175"/>
    <w:rsid w:val="00A20436"/>
    <w:rsid w:val="00A2592E"/>
    <w:rsid w:val="00A35BB3"/>
    <w:rsid w:val="00A4561D"/>
    <w:rsid w:val="00A45BAB"/>
    <w:rsid w:val="00A57726"/>
    <w:rsid w:val="00A819CE"/>
    <w:rsid w:val="00A939DC"/>
    <w:rsid w:val="00A95396"/>
    <w:rsid w:val="00AA7830"/>
    <w:rsid w:val="00AB0C03"/>
    <w:rsid w:val="00AB3B51"/>
    <w:rsid w:val="00AB43D8"/>
    <w:rsid w:val="00AD27CD"/>
    <w:rsid w:val="00AF5277"/>
    <w:rsid w:val="00B02F06"/>
    <w:rsid w:val="00B0454D"/>
    <w:rsid w:val="00B05E9A"/>
    <w:rsid w:val="00B15721"/>
    <w:rsid w:val="00B17178"/>
    <w:rsid w:val="00B24BE1"/>
    <w:rsid w:val="00B3084A"/>
    <w:rsid w:val="00B32793"/>
    <w:rsid w:val="00B4019C"/>
    <w:rsid w:val="00B5793C"/>
    <w:rsid w:val="00B62D6F"/>
    <w:rsid w:val="00B84C83"/>
    <w:rsid w:val="00B91856"/>
    <w:rsid w:val="00BA39D6"/>
    <w:rsid w:val="00BA4455"/>
    <w:rsid w:val="00BB4F59"/>
    <w:rsid w:val="00BD1E9A"/>
    <w:rsid w:val="00BD33CA"/>
    <w:rsid w:val="00BD5AAE"/>
    <w:rsid w:val="00BE19D6"/>
    <w:rsid w:val="00BF1E96"/>
    <w:rsid w:val="00C0764F"/>
    <w:rsid w:val="00C20E01"/>
    <w:rsid w:val="00C67C66"/>
    <w:rsid w:val="00C70901"/>
    <w:rsid w:val="00C8213C"/>
    <w:rsid w:val="00C86D4C"/>
    <w:rsid w:val="00CA05CD"/>
    <w:rsid w:val="00CA37CD"/>
    <w:rsid w:val="00CA50E6"/>
    <w:rsid w:val="00CB5CB8"/>
    <w:rsid w:val="00CB6423"/>
    <w:rsid w:val="00CC243E"/>
    <w:rsid w:val="00CC2856"/>
    <w:rsid w:val="00CE6F5D"/>
    <w:rsid w:val="00D15636"/>
    <w:rsid w:val="00D413C6"/>
    <w:rsid w:val="00D41641"/>
    <w:rsid w:val="00D427EB"/>
    <w:rsid w:val="00D568A9"/>
    <w:rsid w:val="00D61837"/>
    <w:rsid w:val="00D67B2A"/>
    <w:rsid w:val="00D77BCB"/>
    <w:rsid w:val="00D95777"/>
    <w:rsid w:val="00DC1EDA"/>
    <w:rsid w:val="00DF0BA4"/>
    <w:rsid w:val="00DF51CD"/>
    <w:rsid w:val="00E075D9"/>
    <w:rsid w:val="00E07C52"/>
    <w:rsid w:val="00E10F26"/>
    <w:rsid w:val="00E17260"/>
    <w:rsid w:val="00E25DC7"/>
    <w:rsid w:val="00E779A3"/>
    <w:rsid w:val="00E82BAB"/>
    <w:rsid w:val="00E94E8E"/>
    <w:rsid w:val="00EC3DE0"/>
    <w:rsid w:val="00EE5781"/>
    <w:rsid w:val="00EF0DEA"/>
    <w:rsid w:val="00F07600"/>
    <w:rsid w:val="00F24E68"/>
    <w:rsid w:val="00F25544"/>
    <w:rsid w:val="00F26A6B"/>
    <w:rsid w:val="00F32CF2"/>
    <w:rsid w:val="00F35AE6"/>
    <w:rsid w:val="00F3690D"/>
    <w:rsid w:val="00F60E94"/>
    <w:rsid w:val="00F7723C"/>
    <w:rsid w:val="00F91BB8"/>
    <w:rsid w:val="00FA3EC1"/>
    <w:rsid w:val="00FC45C4"/>
    <w:rsid w:val="00FD7E77"/>
    <w:rsid w:val="00FE3AC0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3D0D"/>
  <w15:chartTrackingRefBased/>
  <w15:docId w15:val="{22FBE6A8-3617-5644-BCF4-E1765A3C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3415"/>
    <w:rPr>
      <w:rFonts w:ascii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3415"/>
    <w:pPr>
      <w:ind w:left="720"/>
      <w:contextualSpacing/>
    </w:pPr>
    <w:rPr>
      <w:rFonts w:eastAsia="Times New Roman" w:cs="Times New Roman"/>
    </w:rPr>
  </w:style>
  <w:style w:type="character" w:customStyle="1" w:styleId="apple-converted-space">
    <w:name w:val="apple-converted-space"/>
    <w:basedOn w:val="Carpredefinitoparagrafo"/>
    <w:rsid w:val="005530E5"/>
  </w:style>
  <w:style w:type="character" w:styleId="Enfasigrassetto">
    <w:name w:val="Strong"/>
    <w:basedOn w:val="Carpredefinitoparagrafo"/>
    <w:uiPriority w:val="22"/>
    <w:qFormat/>
    <w:rsid w:val="005530E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A05CD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02C0F"/>
    <w:rPr>
      <w:rFonts w:asciiTheme="minorHAnsi" w:hAnsi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02C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02C0F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C1EDA"/>
    <w:rPr>
      <w:color w:val="605E5C"/>
      <w:shd w:val="clear" w:color="auto" w:fill="E1DFDD"/>
    </w:rPr>
  </w:style>
  <w:style w:type="table" w:styleId="Tabellasemplice-2">
    <w:name w:val="Plain Table 2"/>
    <w:basedOn w:val="Tabellanormale"/>
    <w:uiPriority w:val="42"/>
    <w:rsid w:val="006901BB"/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5C32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C322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C322F"/>
    <w:rPr>
      <w:rFonts w:ascii="Times New Roman" w:hAnsi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32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322F"/>
    <w:rPr>
      <w:rFonts w:ascii="Times New Roman" w:hAnsi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97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mpa@inapp.org" TargetMode="Externa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o365inapp-my.sharepoint.com/personal/p_checcucci_inapp_org/Documents/Documents/Documenti%20correnti_Def/Invecchiamento_Attivo_Piano_2021/Policy_Brief_Anziani_Covidf_19/Calcoli_Policy_Brief_3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noFill/>
            <a:ln w="22225">
              <a:solidFill>
                <a:schemeClr val="accent1"/>
              </a:solidFill>
            </a:ln>
            <a:effectLst/>
          </c:spPr>
          <c:invertIfNegative val="0"/>
          <c:dPt>
            <c:idx val="18"/>
            <c:invertIfNegative val="0"/>
            <c:bubble3D val="0"/>
            <c:spPr>
              <a:solidFill>
                <a:schemeClr val="accent1"/>
              </a:solidFill>
              <a:ln w="22225"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B02-4195-82F6-E2ABE1BC3A77}"/>
              </c:ext>
            </c:extLst>
          </c:dPt>
          <c:dPt>
            <c:idx val="24"/>
            <c:invertIfNegative val="0"/>
            <c:bubble3D val="0"/>
            <c:spPr>
              <a:solidFill>
                <a:srgbClr val="FFC000"/>
              </a:solidFill>
              <a:ln w="22225"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B02-4195-82F6-E2ABE1BC3A77}"/>
              </c:ext>
            </c:extLst>
          </c:dPt>
          <c:cat>
            <c:strRef>
              <c:f>'Letalità_19 marzo'!$J$1:$J$28</c:f>
              <c:strCache>
                <c:ptCount val="28"/>
                <c:pt idx="0">
                  <c:v>Cipro</c:v>
                </c:pt>
                <c:pt idx="1">
                  <c:v>Estonia</c:v>
                </c:pt>
                <c:pt idx="2">
                  <c:v>Danimarca</c:v>
                </c:pt>
                <c:pt idx="3">
                  <c:v>Finlandia</c:v>
                </c:pt>
                <c:pt idx="4">
                  <c:v>Lussemburgo</c:v>
                </c:pt>
                <c:pt idx="5">
                  <c:v>Malta</c:v>
                </c:pt>
                <c:pt idx="6">
                  <c:v>Paesi Bassi</c:v>
                </c:pt>
                <c:pt idx="7">
                  <c:v>Lituania</c:v>
                </c:pt>
                <c:pt idx="8">
                  <c:v>Repubblica Ceca</c:v>
                </c:pt>
                <c:pt idx="9">
                  <c:v>Austria</c:v>
                </c:pt>
                <c:pt idx="10">
                  <c:v>Svezia</c:v>
                </c:pt>
                <c:pt idx="11">
                  <c:v>Latvia</c:v>
                </c:pt>
                <c:pt idx="12">
                  <c:v>Irlanda</c:v>
                </c:pt>
                <c:pt idx="13">
                  <c:v>Portogallo</c:v>
                </c:pt>
                <c:pt idx="14">
                  <c:v>Slovenia</c:v>
                </c:pt>
                <c:pt idx="15">
                  <c:v>Francia</c:v>
                </c:pt>
                <c:pt idx="16">
                  <c:v>Croazia</c:v>
                </c:pt>
                <c:pt idx="17">
                  <c:v>Spagna</c:v>
                </c:pt>
                <c:pt idx="18">
                  <c:v>EU 27</c:v>
                </c:pt>
                <c:pt idx="19">
                  <c:v>Polonia</c:v>
                </c:pt>
                <c:pt idx="20">
                  <c:v>Romania</c:v>
                </c:pt>
                <c:pt idx="21">
                  <c:v>Slovacchia</c:v>
                </c:pt>
                <c:pt idx="22">
                  <c:v>Belgio</c:v>
                </c:pt>
                <c:pt idx="23">
                  <c:v>Germania</c:v>
                </c:pt>
                <c:pt idx="24">
                  <c:v>Italia</c:v>
                </c:pt>
                <c:pt idx="25">
                  <c:v>Greecia</c:v>
                </c:pt>
                <c:pt idx="26">
                  <c:v>Ungheria</c:v>
                </c:pt>
                <c:pt idx="27">
                  <c:v>Bulgaria</c:v>
                </c:pt>
              </c:strCache>
            </c:strRef>
          </c:cat>
          <c:val>
            <c:numRef>
              <c:f>'Letalità_19 marzo'!$K$1:$K$28</c:f>
              <c:numCache>
                <c:formatCode>0.0</c:formatCode>
                <c:ptCount val="28"/>
                <c:pt idx="0">
                  <c:v>0.58621780058865025</c:v>
                </c:pt>
                <c:pt idx="1">
                  <c:v>0.82884242293597754</c:v>
                </c:pt>
                <c:pt idx="2">
                  <c:v>1.0728912561824409</c:v>
                </c:pt>
                <c:pt idx="3">
                  <c:v>1.158323380865361</c:v>
                </c:pt>
                <c:pt idx="4">
                  <c:v>1.2015543511606503</c:v>
                </c:pt>
                <c:pt idx="5">
                  <c:v>1.3192803925131746</c:v>
                </c:pt>
                <c:pt idx="6">
                  <c:v>1.3732012701560024</c:v>
                </c:pt>
                <c:pt idx="7">
                  <c:v>1.659043037755038</c:v>
                </c:pt>
                <c:pt idx="8">
                  <c:v>1.6783518751517561</c:v>
                </c:pt>
                <c:pt idx="9">
                  <c:v>1.7511353460087875</c:v>
                </c:pt>
                <c:pt idx="10">
                  <c:v>1.7921918603942659</c:v>
                </c:pt>
                <c:pt idx="11">
                  <c:v>1.8779587495568393</c:v>
                </c:pt>
                <c:pt idx="12">
                  <c:v>1.995664259864683</c:v>
                </c:pt>
                <c:pt idx="13">
                  <c:v>2.0516999466947694</c:v>
                </c:pt>
                <c:pt idx="14">
                  <c:v>2.0825861603085314</c:v>
                </c:pt>
                <c:pt idx="15">
                  <c:v>2.1930803157733378</c:v>
                </c:pt>
                <c:pt idx="16">
                  <c:v>2.2498398865257143</c:v>
                </c:pt>
                <c:pt idx="17">
                  <c:v>2.2696906795437082</c:v>
                </c:pt>
                <c:pt idx="18">
                  <c:v>2.3788301500759688</c:v>
                </c:pt>
                <c:pt idx="19">
                  <c:v>2.4386064645145162</c:v>
                </c:pt>
                <c:pt idx="20">
                  <c:v>2.4827528289446059</c:v>
                </c:pt>
                <c:pt idx="21">
                  <c:v>2.5587133857810551</c:v>
                </c:pt>
                <c:pt idx="22">
                  <c:v>2.7499462141442823</c:v>
                </c:pt>
                <c:pt idx="23">
                  <c:v>2.8275691605665938</c:v>
                </c:pt>
                <c:pt idx="24">
                  <c:v>3.1407341010448149</c:v>
                </c:pt>
                <c:pt idx="25">
                  <c:v>3.1682420316346596</c:v>
                </c:pt>
                <c:pt idx="26">
                  <c:v>3.2447680139095261</c:v>
                </c:pt>
                <c:pt idx="27">
                  <c:v>3.9952396569036805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B02-4195-82F6-E2ABE1BC3A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10599784"/>
        <c:axId val="610600768"/>
      </c:barChart>
      <c:catAx>
        <c:axId val="610599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610600768"/>
        <c:crosses val="autoZero"/>
        <c:auto val="1"/>
        <c:lblAlgn val="ctr"/>
        <c:lblOffset val="100"/>
        <c:noMultiLvlLbl val="0"/>
      </c:catAx>
      <c:valAx>
        <c:axId val="610600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610599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Gentile Laura</dc:creator>
  <cp:keywords/>
  <dc:description/>
  <cp:lastModifiedBy>Gentile Laura</cp:lastModifiedBy>
  <cp:revision>4</cp:revision>
  <cp:lastPrinted>2021-06-03T13:32:00Z</cp:lastPrinted>
  <dcterms:created xsi:type="dcterms:W3CDTF">2021-06-08T15:08:00Z</dcterms:created>
  <dcterms:modified xsi:type="dcterms:W3CDTF">2021-06-09T07:21:00Z</dcterms:modified>
</cp:coreProperties>
</file>