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C4BF9" w14:textId="6B7C63BF" w:rsidR="009F2D3B" w:rsidRDefault="009F2D3B" w:rsidP="00F9423B">
      <w:pPr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1E3AB0A8" wp14:editId="1376CA39">
            <wp:extent cx="1873475" cy="127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900" cy="129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B7745" w14:textId="77777777" w:rsidR="00E413F6" w:rsidRDefault="00E413F6" w:rsidP="001F1FF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05583098" w14:textId="0A5EEAA4" w:rsidR="00F9423B" w:rsidRPr="009F2D3B" w:rsidRDefault="00F9423B" w:rsidP="00F9423B">
      <w:pPr>
        <w:jc w:val="center"/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</w:pPr>
      <w:bookmarkStart w:id="0" w:name="_GoBack"/>
      <w:r w:rsidRPr="009F2D3B">
        <w:rPr>
          <w:rFonts w:asciiTheme="majorHAnsi" w:hAnsiTheme="majorHAnsi" w:cstheme="majorHAnsi"/>
          <w:sz w:val="24"/>
          <w:szCs w:val="24"/>
          <w:u w:val="single"/>
          <w:shd w:val="clear" w:color="auto" w:fill="FFFFFF"/>
        </w:rPr>
        <w:t>COMUNICATO STAMPA</w:t>
      </w:r>
    </w:p>
    <w:p w14:paraId="234CE707" w14:textId="241753EA" w:rsidR="00F9423B" w:rsidRPr="00D4358B" w:rsidRDefault="00337F55" w:rsidP="00F9423B">
      <w:pPr>
        <w:jc w:val="center"/>
        <w:rPr>
          <w:rFonts w:asciiTheme="majorHAnsi" w:hAnsiTheme="majorHAnsi" w:cstheme="majorHAnsi"/>
          <w:sz w:val="24"/>
          <w:szCs w:val="24"/>
        </w:rPr>
      </w:pPr>
      <w:r w:rsidRPr="00D4358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I risultati del </w:t>
      </w:r>
      <w:r w:rsidRPr="00D4358B">
        <w:rPr>
          <w:rFonts w:asciiTheme="majorHAnsi" w:hAnsiTheme="majorHAnsi" w:cstheme="majorHAnsi"/>
          <w:sz w:val="24"/>
          <w:szCs w:val="24"/>
        </w:rPr>
        <w:t>Gender Polic</w:t>
      </w:r>
      <w:r w:rsidR="001165B8">
        <w:rPr>
          <w:rFonts w:asciiTheme="majorHAnsi" w:hAnsiTheme="majorHAnsi" w:cstheme="majorHAnsi"/>
          <w:sz w:val="24"/>
          <w:szCs w:val="24"/>
        </w:rPr>
        <w:t>ies</w:t>
      </w:r>
      <w:r w:rsidRPr="00D4358B">
        <w:rPr>
          <w:rFonts w:asciiTheme="majorHAnsi" w:hAnsiTheme="majorHAnsi" w:cstheme="majorHAnsi"/>
          <w:sz w:val="24"/>
          <w:szCs w:val="24"/>
        </w:rPr>
        <w:t xml:space="preserve"> Report</w:t>
      </w:r>
    </w:p>
    <w:p w14:paraId="5847B22B" w14:textId="3857E680" w:rsidR="00051500" w:rsidRPr="00D4358B" w:rsidRDefault="003E7CFE" w:rsidP="00051500">
      <w:pPr>
        <w:jc w:val="center"/>
        <w:rPr>
          <w:i/>
          <w:sz w:val="24"/>
          <w:szCs w:val="24"/>
        </w:rPr>
      </w:pPr>
      <w:r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LAVORO, INAPP: </w:t>
      </w:r>
      <w:r w:rsidR="00337F55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“</w:t>
      </w:r>
      <w:r w:rsidR="00D06F4D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IL 2021 E LA SVOLTA MANCATA: </w:t>
      </w:r>
      <w:r w:rsidR="00656589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PER UNA DONNA SU DUE </w:t>
      </w:r>
      <w:r w:rsidR="00051500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LA RIPRESA </w:t>
      </w:r>
      <w:r w:rsidR="00656589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E’ </w:t>
      </w:r>
      <w:r w:rsidR="00D81E77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PRECARIA E </w:t>
      </w:r>
      <w:r w:rsidR="00656589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A TEMPO PARZIALE</w:t>
      </w:r>
      <w:r w:rsidR="00D06F4D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>”</w:t>
      </w:r>
      <w:r w:rsidR="00051500" w:rsidRPr="00D4358B">
        <w:rPr>
          <w:rFonts w:asciiTheme="majorHAnsi" w:hAnsiTheme="majorHAnsi" w:cstheme="majorHAnsi"/>
          <w:b/>
          <w:sz w:val="36"/>
          <w:szCs w:val="36"/>
          <w:shd w:val="clear" w:color="auto" w:fill="FFFFFF"/>
        </w:rPr>
        <w:t xml:space="preserve"> </w:t>
      </w:r>
      <w:r w:rsidR="00D06F4D" w:rsidRPr="00D4358B">
        <w:rPr>
          <w:i/>
          <w:sz w:val="24"/>
          <w:szCs w:val="24"/>
        </w:rPr>
        <w:t xml:space="preserve"> </w:t>
      </w:r>
    </w:p>
    <w:p w14:paraId="518B0622" w14:textId="161DC486" w:rsidR="00D06F4D" w:rsidRDefault="00D06F4D" w:rsidP="00D06F4D">
      <w:pPr>
        <w:jc w:val="both"/>
        <w:rPr>
          <w:i/>
          <w:sz w:val="24"/>
          <w:szCs w:val="24"/>
        </w:rPr>
      </w:pPr>
      <w:r w:rsidRPr="00BE556C">
        <w:rPr>
          <w:i/>
          <w:sz w:val="24"/>
          <w:szCs w:val="24"/>
        </w:rPr>
        <w:t xml:space="preserve">Mentre il PNRR promette un’attenzione trasversale alla parità di genere in tutti i campi, la ripresa non </w:t>
      </w:r>
      <w:r w:rsidR="006B2924" w:rsidRPr="00BE556C">
        <w:rPr>
          <w:i/>
          <w:sz w:val="24"/>
          <w:szCs w:val="24"/>
        </w:rPr>
        <w:t xml:space="preserve">sta </w:t>
      </w:r>
      <w:r w:rsidRPr="00BE556C">
        <w:rPr>
          <w:i/>
          <w:sz w:val="24"/>
          <w:szCs w:val="24"/>
        </w:rPr>
        <w:t>favore</w:t>
      </w:r>
      <w:r w:rsidR="006B2924" w:rsidRPr="00BE556C">
        <w:rPr>
          <w:i/>
          <w:sz w:val="24"/>
          <w:szCs w:val="24"/>
        </w:rPr>
        <w:t>ndo</w:t>
      </w:r>
      <w:r w:rsidRPr="00BE556C">
        <w:rPr>
          <w:i/>
          <w:sz w:val="24"/>
          <w:szCs w:val="24"/>
        </w:rPr>
        <w:t xml:space="preserve"> le donne. Prevalenti i contratti precari e a orario ridotto</w:t>
      </w:r>
      <w:r w:rsidR="006B2924" w:rsidRPr="00BE556C">
        <w:rPr>
          <w:i/>
          <w:sz w:val="24"/>
          <w:szCs w:val="24"/>
        </w:rPr>
        <w:t>, ancora pesante la gestione dei carichi familiari.</w:t>
      </w:r>
      <w:r w:rsidRPr="00BE556C">
        <w:rPr>
          <w:i/>
          <w:sz w:val="24"/>
          <w:szCs w:val="24"/>
        </w:rPr>
        <w:t xml:space="preserve"> L</w:t>
      </w:r>
      <w:r w:rsidR="00BE556C">
        <w:rPr>
          <w:i/>
          <w:sz w:val="24"/>
          <w:szCs w:val="24"/>
        </w:rPr>
        <w:t>e</w:t>
      </w:r>
      <w:r w:rsidRPr="00BE556C">
        <w:rPr>
          <w:i/>
          <w:sz w:val="24"/>
          <w:szCs w:val="24"/>
        </w:rPr>
        <w:t xml:space="preserve"> </w:t>
      </w:r>
      <w:r w:rsidR="006B2924" w:rsidRPr="00BE556C">
        <w:rPr>
          <w:i/>
          <w:sz w:val="24"/>
          <w:szCs w:val="24"/>
        </w:rPr>
        <w:t xml:space="preserve">regioni italiane </w:t>
      </w:r>
      <w:r w:rsidRPr="00BE556C">
        <w:rPr>
          <w:i/>
          <w:sz w:val="24"/>
          <w:szCs w:val="24"/>
        </w:rPr>
        <w:t>disegna</w:t>
      </w:r>
      <w:r w:rsidR="006B2924" w:rsidRPr="00BE556C">
        <w:rPr>
          <w:i/>
          <w:sz w:val="24"/>
          <w:szCs w:val="24"/>
        </w:rPr>
        <w:t>no</w:t>
      </w:r>
      <w:r w:rsidRPr="00BE556C">
        <w:rPr>
          <w:i/>
          <w:sz w:val="24"/>
          <w:szCs w:val="24"/>
        </w:rPr>
        <w:t xml:space="preserve"> un Paese a 4 velocità, con la sorpresa del Mezzogiorno</w:t>
      </w:r>
      <w:r w:rsidR="00D4358B">
        <w:rPr>
          <w:i/>
          <w:sz w:val="24"/>
          <w:szCs w:val="24"/>
        </w:rPr>
        <w:t>.</w:t>
      </w:r>
    </w:p>
    <w:p w14:paraId="5D7714BA" w14:textId="77777777" w:rsidR="006B2924" w:rsidRPr="0075083B" w:rsidRDefault="00337F55" w:rsidP="003E7CFE">
      <w:pPr>
        <w:spacing w:line="276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75083B">
        <w:rPr>
          <w:rFonts w:eastAsia="Times New Roman" w:cstheme="minorHAnsi"/>
          <w:bCs/>
          <w:color w:val="000000"/>
          <w:lang w:eastAsia="it-IT"/>
        </w:rPr>
        <w:t xml:space="preserve">Roma, 20 dicembre 2021 - </w:t>
      </w:r>
      <w:r w:rsidR="003E7CFE" w:rsidRPr="0075083B">
        <w:rPr>
          <w:rFonts w:eastAsia="Times New Roman" w:cstheme="minorHAnsi"/>
          <w:bCs/>
          <w:color w:val="000000"/>
          <w:lang w:eastAsia="it-IT"/>
        </w:rPr>
        <w:t xml:space="preserve">La ripresa della post pandemia </w:t>
      </w:r>
      <w:r w:rsidR="00985C23" w:rsidRPr="0075083B">
        <w:rPr>
          <w:rFonts w:eastAsia="Times New Roman" w:cstheme="minorHAnsi"/>
          <w:bCs/>
          <w:color w:val="000000"/>
          <w:lang w:eastAsia="it-IT"/>
        </w:rPr>
        <w:t xml:space="preserve">è all’insegna della precarietà </w:t>
      </w:r>
      <w:r w:rsidR="00B36AA6" w:rsidRPr="0075083B">
        <w:rPr>
          <w:rFonts w:eastAsia="Times New Roman" w:cstheme="minorHAnsi"/>
          <w:bCs/>
          <w:color w:val="000000"/>
          <w:lang w:eastAsia="it-IT"/>
        </w:rPr>
        <w:t>e della discontinuità occupazionale</w:t>
      </w:r>
      <w:r w:rsidR="00985C23" w:rsidRPr="0075083B">
        <w:rPr>
          <w:rFonts w:eastAsia="Times New Roman" w:cstheme="minorHAnsi"/>
          <w:bCs/>
          <w:color w:val="000000"/>
          <w:lang w:eastAsia="it-IT"/>
        </w:rPr>
        <w:t xml:space="preserve"> per le donne</w:t>
      </w:r>
      <w:r w:rsidR="00051500" w:rsidRPr="0075083B">
        <w:rPr>
          <w:rFonts w:eastAsia="Times New Roman" w:cstheme="minorHAnsi"/>
          <w:bCs/>
          <w:color w:val="000000"/>
          <w:lang w:eastAsia="it-IT"/>
        </w:rPr>
        <w:t>:</w:t>
      </w:r>
      <w:r w:rsidR="003E7CFE" w:rsidRPr="0075083B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6B2924" w:rsidRPr="0075083B">
        <w:rPr>
          <w:rFonts w:eastAsia="Times New Roman" w:cstheme="minorHAnsi"/>
          <w:bCs/>
          <w:color w:val="000000"/>
          <w:lang w:eastAsia="it-IT"/>
        </w:rPr>
        <w:t>sono a tempo indeterminato solo il 14% dei nuovi contratti e solo il 38% d</w:t>
      </w:r>
      <w:r w:rsidR="00985C23" w:rsidRPr="0075083B">
        <w:rPr>
          <w:rFonts w:eastAsia="Times New Roman" w:cstheme="minorHAnsi"/>
          <w:bCs/>
          <w:color w:val="000000"/>
          <w:lang w:eastAsia="it-IT"/>
        </w:rPr>
        <w:t>elle</w:t>
      </w:r>
      <w:r w:rsidR="006B2924" w:rsidRPr="0075083B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75083B" w:rsidRPr="0075083B">
        <w:rPr>
          <w:rFonts w:eastAsia="Times New Roman" w:cstheme="minorHAnsi"/>
          <w:bCs/>
          <w:color w:val="000000"/>
          <w:lang w:eastAsia="it-IT"/>
        </w:rPr>
        <w:t xml:space="preserve">stabilizzazioni </w:t>
      </w:r>
      <w:r w:rsidR="00985C23" w:rsidRPr="0075083B">
        <w:rPr>
          <w:rFonts w:eastAsia="Times New Roman" w:cstheme="minorHAnsi"/>
          <w:bCs/>
          <w:color w:val="000000"/>
          <w:lang w:eastAsia="it-IT"/>
        </w:rPr>
        <w:t>da altr</w:t>
      </w:r>
      <w:r w:rsidR="0075083B" w:rsidRPr="0075083B">
        <w:rPr>
          <w:rFonts w:eastAsia="Times New Roman" w:cstheme="minorHAnsi"/>
          <w:bCs/>
          <w:color w:val="000000"/>
          <w:lang w:eastAsia="it-IT"/>
        </w:rPr>
        <w:t>e forme</w:t>
      </w:r>
      <w:r w:rsidR="00985C23" w:rsidRPr="0075083B">
        <w:rPr>
          <w:rFonts w:eastAsia="Times New Roman" w:cstheme="minorHAnsi"/>
          <w:bCs/>
          <w:color w:val="000000"/>
          <w:lang w:eastAsia="it-IT"/>
        </w:rPr>
        <w:t xml:space="preserve"> contratt</w:t>
      </w:r>
      <w:r w:rsidR="0075083B" w:rsidRPr="0075083B">
        <w:rPr>
          <w:rFonts w:eastAsia="Times New Roman" w:cstheme="minorHAnsi"/>
          <w:bCs/>
          <w:color w:val="000000"/>
          <w:lang w:eastAsia="it-IT"/>
        </w:rPr>
        <w:t>uali</w:t>
      </w:r>
      <w:r w:rsidR="006B2924" w:rsidRPr="0075083B">
        <w:rPr>
          <w:rFonts w:eastAsia="Times New Roman" w:cstheme="minorHAnsi"/>
          <w:bCs/>
          <w:color w:val="000000"/>
          <w:lang w:eastAsia="it-IT"/>
        </w:rPr>
        <w:t xml:space="preserve">. Il 49,6% </w:t>
      </w:r>
      <w:r w:rsidR="006B2924" w:rsidRPr="0075083B">
        <w:t>di tutti i contratti</w:t>
      </w:r>
      <w:r w:rsidR="003767B4" w:rsidRPr="0075083B">
        <w:t xml:space="preserve"> femminili, inoltre,</w:t>
      </w:r>
      <w:r w:rsidR="006B2924" w:rsidRPr="0075083B">
        <w:t xml:space="preserve"> è a tempo parziale, contro il 26,6% degli uomini.</w:t>
      </w:r>
      <w:r w:rsidR="003767B4" w:rsidRPr="0075083B">
        <w:t xml:space="preserve"> </w:t>
      </w:r>
      <w:r w:rsidR="006B2924" w:rsidRPr="0075083B">
        <w:t xml:space="preserve">Si </w:t>
      </w:r>
      <w:r w:rsidR="00B36AA6" w:rsidRPr="0075083B">
        <w:t>ampliano</w:t>
      </w:r>
      <w:r w:rsidR="00067146" w:rsidRPr="0075083B">
        <w:t xml:space="preserve"> quindi</w:t>
      </w:r>
      <w:r w:rsidR="006B2924" w:rsidRPr="0075083B">
        <w:t xml:space="preserve"> </w:t>
      </w:r>
      <w:r w:rsidR="00B36AA6" w:rsidRPr="0075083B">
        <w:t>i</w:t>
      </w:r>
      <w:r w:rsidR="006B2924" w:rsidRPr="0075083B">
        <w:t xml:space="preserve"> gap di genere</w:t>
      </w:r>
      <w:r w:rsidR="003767B4" w:rsidRPr="0075083B">
        <w:t xml:space="preserve"> </w:t>
      </w:r>
      <w:r w:rsidR="00067146" w:rsidRPr="0075083B">
        <w:t xml:space="preserve">(di occupazione e di retribuzione) </w:t>
      </w:r>
      <w:r w:rsidR="003767B4" w:rsidRPr="0075083B">
        <w:t xml:space="preserve">e allo stesso tempo si acuiscono </w:t>
      </w:r>
      <w:r w:rsidR="00B36AA6" w:rsidRPr="0075083B">
        <w:t>i divari territoriali</w:t>
      </w:r>
      <w:r w:rsidR="003767B4" w:rsidRPr="0075083B">
        <w:t>:</w:t>
      </w:r>
      <w:r w:rsidR="00B36AA6" w:rsidRPr="0075083B">
        <w:t xml:space="preserve"> </w:t>
      </w:r>
      <w:r w:rsidR="003767B4" w:rsidRPr="0075083B">
        <w:t xml:space="preserve">sono </w:t>
      </w:r>
      <w:r w:rsidR="00B36AA6" w:rsidRPr="0075083B">
        <w:t>4</w:t>
      </w:r>
      <w:r w:rsidR="003767B4" w:rsidRPr="0075083B">
        <w:t xml:space="preserve"> i</w:t>
      </w:r>
      <w:r w:rsidR="00B36AA6" w:rsidRPr="0075083B">
        <w:t xml:space="preserve"> diversi scenari </w:t>
      </w:r>
      <w:r w:rsidR="003767B4" w:rsidRPr="0075083B">
        <w:t xml:space="preserve">regionali </w:t>
      </w:r>
      <w:r w:rsidR="00B36AA6" w:rsidRPr="0075083B">
        <w:t>per occupazione</w:t>
      </w:r>
      <w:r w:rsidR="003767B4" w:rsidRPr="0075083B">
        <w:t xml:space="preserve"> creata</w:t>
      </w:r>
      <w:r w:rsidR="00B36AA6" w:rsidRPr="0075083B">
        <w:t xml:space="preserve">, livello di stabilità e numero di ore lavorate dalle donne.  </w:t>
      </w:r>
      <w:r w:rsidR="006B2924" w:rsidRPr="0075083B">
        <w:t xml:space="preserve"> </w:t>
      </w:r>
    </w:p>
    <w:p w14:paraId="3C9AB713" w14:textId="64A3FAE3" w:rsidR="003E7CFE" w:rsidRDefault="003E7CFE" w:rsidP="00AB6E97">
      <w:pPr>
        <w:jc w:val="both"/>
      </w:pPr>
      <w:r w:rsidRPr="0075083B">
        <w:t xml:space="preserve">È la fotografia </w:t>
      </w:r>
      <w:r w:rsidR="003767B4" w:rsidRPr="0075083B">
        <w:t xml:space="preserve">della ripresa nel 2021, </w:t>
      </w:r>
      <w:r w:rsidRPr="0075083B">
        <w:t xml:space="preserve">che scatta il </w:t>
      </w:r>
      <w:r w:rsidRPr="00656589">
        <w:rPr>
          <w:b/>
          <w:bCs/>
          <w:i/>
        </w:rPr>
        <w:t>Gender Polic</w:t>
      </w:r>
      <w:r w:rsidR="005C5620">
        <w:rPr>
          <w:b/>
          <w:bCs/>
          <w:i/>
        </w:rPr>
        <w:t>ies</w:t>
      </w:r>
      <w:r w:rsidRPr="00656589">
        <w:rPr>
          <w:b/>
          <w:bCs/>
          <w:i/>
        </w:rPr>
        <w:t xml:space="preserve"> Report</w:t>
      </w:r>
      <w:r w:rsidR="003767B4" w:rsidRPr="0075083B">
        <w:t xml:space="preserve">, </w:t>
      </w:r>
      <w:r w:rsidRPr="0075083B">
        <w:t>elaborato da</w:t>
      </w:r>
      <w:r w:rsidR="00AB6E97" w:rsidRPr="0075083B">
        <w:t>lla Struttura Mercato del Lavoro</w:t>
      </w:r>
      <w:r w:rsidRPr="0075083B">
        <w:t xml:space="preserve"> dell’INAPP</w:t>
      </w:r>
      <w:r w:rsidR="00BE556C" w:rsidRPr="0075083B">
        <w:t xml:space="preserve"> e </w:t>
      </w:r>
      <w:r w:rsidR="00B36AA6" w:rsidRPr="0075083B">
        <w:t xml:space="preserve">presentato questa mattina </w:t>
      </w:r>
      <w:r w:rsidR="003767B4" w:rsidRPr="0075083B">
        <w:t>al</w:t>
      </w:r>
      <w:r w:rsidR="00B36AA6" w:rsidRPr="0075083B">
        <w:t>l’Auditorium dell’Istituto Nazionale per le Analisi delle Politiche Pubbliche. Il Rapporto</w:t>
      </w:r>
      <w:r w:rsidR="00751551" w:rsidRPr="0075083B">
        <w:t>, diviso in 9 capitoli</w:t>
      </w:r>
      <w:r w:rsidR="00656589">
        <w:t>,</w:t>
      </w:r>
      <w:r w:rsidR="00751551" w:rsidRPr="0075083B">
        <w:t xml:space="preserve"> spazia dal </w:t>
      </w:r>
      <w:r w:rsidR="00B36AA6" w:rsidRPr="0075083B">
        <w:t>contesto demografico</w:t>
      </w:r>
      <w:r w:rsidR="003767B4" w:rsidRPr="0075083B">
        <w:t xml:space="preserve"> </w:t>
      </w:r>
      <w:r w:rsidR="00B36AA6" w:rsidRPr="0075083B">
        <w:t xml:space="preserve">al </w:t>
      </w:r>
      <w:r w:rsidR="00751551" w:rsidRPr="0075083B">
        <w:t>mercato del lavoro</w:t>
      </w:r>
      <w:r w:rsidR="003767B4" w:rsidRPr="0075083B">
        <w:t>,</w:t>
      </w:r>
      <w:r w:rsidR="00751551" w:rsidRPr="0075083B">
        <w:t xml:space="preserve"> </w:t>
      </w:r>
      <w:r w:rsidR="00B36AA6" w:rsidRPr="0075083B">
        <w:t>per concentrarsi su u</w:t>
      </w:r>
      <w:r w:rsidR="00751551" w:rsidRPr="0075083B">
        <w:t>n’anal</w:t>
      </w:r>
      <w:r w:rsidR="00AB6E97" w:rsidRPr="0075083B">
        <w:t xml:space="preserve">isi delle </w:t>
      </w:r>
      <w:r w:rsidR="00B36AA6" w:rsidRPr="0075083B">
        <w:t xml:space="preserve">principali politiche innovative in ottica di genere (PNRR e gender procurement) e del sistema di </w:t>
      </w:r>
      <w:r w:rsidR="00AB6E97" w:rsidRPr="0075083B">
        <w:t xml:space="preserve">relazioni industriali </w:t>
      </w:r>
      <w:r w:rsidR="00BE556C" w:rsidRPr="0075083B">
        <w:t>in prospettiva di genere</w:t>
      </w:r>
      <w:r w:rsidR="003B1D6D">
        <w:t>.</w:t>
      </w:r>
    </w:p>
    <w:p w14:paraId="1002A348" w14:textId="640B1521" w:rsidR="00D4358B" w:rsidRPr="000756A3" w:rsidRDefault="000756A3" w:rsidP="000756A3">
      <w:pPr>
        <w:spacing w:line="276" w:lineRule="auto"/>
        <w:jc w:val="both"/>
        <w:rPr>
          <w:sz w:val="24"/>
          <w:szCs w:val="24"/>
        </w:rPr>
      </w:pPr>
      <w:r w:rsidRPr="00F9423B">
        <w:rPr>
          <w:sz w:val="24"/>
          <w:szCs w:val="24"/>
        </w:rPr>
        <w:t xml:space="preserve">“In questo anno e mezzo di pandemia le donne hanno dovuto affrontare uno </w:t>
      </w:r>
      <w:r w:rsidRPr="00F9423B">
        <w:rPr>
          <w:i/>
          <w:sz w:val="24"/>
          <w:szCs w:val="24"/>
        </w:rPr>
        <w:t>stress test</w:t>
      </w:r>
      <w:r w:rsidRPr="00F9423B">
        <w:rPr>
          <w:sz w:val="24"/>
          <w:szCs w:val="24"/>
        </w:rPr>
        <w:t xml:space="preserve"> particolare dovendo </w:t>
      </w:r>
      <w:r w:rsidR="008D5E13">
        <w:rPr>
          <w:sz w:val="24"/>
          <w:szCs w:val="24"/>
        </w:rPr>
        <w:t>moltiplicare</w:t>
      </w:r>
      <w:r w:rsidRPr="00F9423B">
        <w:rPr>
          <w:sz w:val="24"/>
          <w:szCs w:val="24"/>
        </w:rPr>
        <w:t xml:space="preserve"> gli sforzi e spesso trovandosi di fronte al bivio di scegliere tra lavoro e famiglia – ha spiegato il </w:t>
      </w:r>
      <w:r w:rsidRPr="00ED3832">
        <w:rPr>
          <w:b/>
          <w:bCs/>
          <w:sz w:val="24"/>
          <w:szCs w:val="24"/>
        </w:rPr>
        <w:t xml:space="preserve">prof. Sebastiano Fadda, presidente dell’INAPP </w:t>
      </w:r>
      <w:r w:rsidRPr="00F9423B">
        <w:rPr>
          <w:sz w:val="24"/>
          <w:szCs w:val="24"/>
        </w:rPr>
        <w:t xml:space="preserve">– </w:t>
      </w:r>
      <w:r w:rsidR="008D5E13">
        <w:rPr>
          <w:sz w:val="24"/>
          <w:szCs w:val="24"/>
        </w:rPr>
        <w:t>L</w:t>
      </w:r>
      <w:r w:rsidRPr="00F9423B">
        <w:rPr>
          <w:sz w:val="24"/>
          <w:szCs w:val="24"/>
        </w:rPr>
        <w:t xml:space="preserve">’aumento delle diseguaglianze di genere è cresciuto e parte da un dato strutturale dell’occupazione che vede al 67,8% </w:t>
      </w:r>
      <w:r w:rsidR="008D5E13">
        <w:rPr>
          <w:sz w:val="24"/>
          <w:szCs w:val="24"/>
        </w:rPr>
        <w:t>il tasso di occupazione</w:t>
      </w:r>
      <w:r w:rsidRPr="00F9423B">
        <w:rPr>
          <w:sz w:val="24"/>
          <w:szCs w:val="24"/>
        </w:rPr>
        <w:t xml:space="preserve"> degli uomini e al 49,5% quell</w:t>
      </w:r>
      <w:r w:rsidR="008D5E13">
        <w:rPr>
          <w:sz w:val="24"/>
          <w:szCs w:val="24"/>
        </w:rPr>
        <w:t>o</w:t>
      </w:r>
      <w:r w:rsidRPr="00F9423B">
        <w:rPr>
          <w:sz w:val="24"/>
          <w:szCs w:val="24"/>
        </w:rPr>
        <w:t xml:space="preserve"> delle donne. È chiaro che la pandemia non ha fatto che allargare questo divario, per questo occorre intervenire non tanto con bonus o iniziative spot ma </w:t>
      </w:r>
      <w:r w:rsidR="00D4358B" w:rsidRPr="00D4358B">
        <w:t>inizia</w:t>
      </w:r>
      <w:r w:rsidR="008D5E13">
        <w:t>ndo</w:t>
      </w:r>
      <w:r w:rsidR="00D4358B" w:rsidRPr="00D4358B">
        <w:t xml:space="preserve"> a adottare, sin dalla fase di progettazione, una valutazione di quali possono essere gli effetti su uomini e donne di politiche concepite come universali e quindi neutre. Un metodo e una sfida che l’Europa ci chiede dal 2006 e che di recente ha ribadito lo stesso Parlamento europeo nella Risoluzione sul Next Generation EU. </w:t>
      </w:r>
      <w:r w:rsidR="00686330">
        <w:t>P</w:t>
      </w:r>
      <w:r w:rsidR="00D4358B" w:rsidRPr="00D4358B">
        <w:t xml:space="preserve">urtroppo, la questione della scarsa quantità e qualità dell’occupazione femminile nel </w:t>
      </w:r>
      <w:r w:rsidR="00686330">
        <w:t xml:space="preserve">nostro </w:t>
      </w:r>
      <w:r w:rsidR="00D4358B" w:rsidRPr="00D4358B">
        <w:t xml:space="preserve">Paese continua ad essere percepita come una questione di parte: la questione non è </w:t>
      </w:r>
      <w:r w:rsidR="008D5E13">
        <w:t>solo</w:t>
      </w:r>
      <w:r w:rsidR="00D4358B" w:rsidRPr="00D4358B">
        <w:t xml:space="preserve"> di pari opportunità di genere, ma di sviluppo economico di un Paese che continua a lasciare in panchina metà della sua formazione vincente”.</w:t>
      </w:r>
    </w:p>
    <w:p w14:paraId="166E3589" w14:textId="5CF26554" w:rsidR="004C1413" w:rsidRDefault="00686330" w:rsidP="003E7CFE">
      <w:pPr>
        <w:spacing w:line="276" w:lineRule="auto"/>
        <w:jc w:val="both"/>
      </w:pPr>
      <w:r>
        <w:lastRenderedPageBreak/>
        <w:t xml:space="preserve">Andando ad esaminare il Rapporto si evidenzia come </w:t>
      </w:r>
      <w:r w:rsidR="00067146" w:rsidRPr="0075083B">
        <w:t>nel</w:t>
      </w:r>
      <w:r w:rsidR="00BE556C" w:rsidRPr="0075083B">
        <w:t xml:space="preserve"> primo semestre del 2021 (ma la tendenza è in atto anche per i mesi successivi) i nuovi contratti attivati sono </w:t>
      </w:r>
      <w:r w:rsidR="00BE556C" w:rsidRPr="0075083B">
        <w:rPr>
          <w:rFonts w:eastAsia="Times New Roman" w:cs="Calibri"/>
          <w:color w:val="000000"/>
          <w:lang w:eastAsia="it-IT"/>
        </w:rPr>
        <w:t xml:space="preserve">3.322.634 di cui </w:t>
      </w:r>
      <w:r w:rsidR="00BE556C" w:rsidRPr="0075083B">
        <w:t xml:space="preserve">2.006.617 a uomini e 1.316.017, (ossia il 39,6% del totale) a donne. Il 35,5% sono rivolti a giovani </w:t>
      </w:r>
      <w:r w:rsidR="00BE556C" w:rsidRPr="0075083B">
        <w:rPr>
          <w:iCs/>
        </w:rPr>
        <w:t>under</w:t>
      </w:r>
      <w:r w:rsidR="00BE556C" w:rsidRPr="0075083B">
        <w:t xml:space="preserve"> 30, mentre oltre il 45% si colloca tra i 30 e i 50 anni senza rilevanti differenze di genere. Prevalgono per entrambi le forme contrattuali a termine,</w:t>
      </w:r>
      <w:r w:rsidR="00BE4323">
        <w:t xml:space="preserve"> </w:t>
      </w:r>
      <w:r w:rsidR="00BE556C" w:rsidRPr="0075083B">
        <w:t xml:space="preserve">ma l’incidenza </w:t>
      </w:r>
      <w:r w:rsidR="00067146" w:rsidRPr="0075083B">
        <w:t xml:space="preserve">della precarietà e discontinuità </w:t>
      </w:r>
      <w:r w:rsidR="00285A10" w:rsidRPr="0075083B">
        <w:t xml:space="preserve">per le donne </w:t>
      </w:r>
      <w:r w:rsidR="00BE556C" w:rsidRPr="0075083B">
        <w:t>è maggiore</w:t>
      </w:r>
      <w:r w:rsidR="00BE4323">
        <w:t>, c</w:t>
      </w:r>
      <w:r w:rsidR="00BE4323" w:rsidRPr="0075083B">
        <w:t>on un ruolo prevalente della piccola impresa fino a 15 dipendenti</w:t>
      </w:r>
      <w:r w:rsidR="00067146" w:rsidRPr="0075083B">
        <w:t xml:space="preserve">. </w:t>
      </w:r>
    </w:p>
    <w:p w14:paraId="1D08963F" w14:textId="77777777" w:rsidR="00337F55" w:rsidRPr="0075083B" w:rsidRDefault="00337F55" w:rsidP="00337F55">
      <w:pPr>
        <w:spacing w:line="276" w:lineRule="auto"/>
        <w:jc w:val="both"/>
        <w:rPr>
          <w:rFonts w:ascii="Calibri" w:eastAsia="Times New Roman" w:hAnsi="Calibri" w:cs="Calibri"/>
          <w:b/>
          <w:bCs/>
          <w:vanish/>
          <w:color w:val="000000"/>
          <w:lang w:eastAsia="it-IT"/>
        </w:rPr>
      </w:pPr>
      <w:r w:rsidRPr="0075083B">
        <w:rPr>
          <w:rFonts w:eastAsia="Times New Roman" w:cstheme="minorHAnsi"/>
          <w:bCs/>
          <w:color w:val="000000"/>
          <w:lang w:eastAsia="it-IT"/>
        </w:rPr>
        <w:t>La ripresa inoltre non avviene alla stessa velocita e con lo stesso modello in tutte le regioni italiane. Dato comune è che</w:t>
      </w:r>
    </w:p>
    <w:p w14:paraId="6D78C1AE" w14:textId="77777777" w:rsidR="00285A10" w:rsidRPr="0075083B" w:rsidRDefault="00337F55" w:rsidP="00337F55">
      <w:pPr>
        <w:pStyle w:val="Paragrafoelenco"/>
        <w:numPr>
          <w:ilvl w:val="0"/>
          <w:numId w:val="3"/>
        </w:numPr>
        <w:spacing w:line="276" w:lineRule="auto"/>
        <w:jc w:val="both"/>
        <w:rPr>
          <w:rFonts w:cstheme="minorHAnsi"/>
          <w:lang w:val="it-IT"/>
        </w:rPr>
      </w:pPr>
      <w:r w:rsidRPr="0075083B">
        <w:rPr>
          <w:rFonts w:cstheme="minorHAnsi"/>
          <w:lang w:val="it-IT"/>
        </w:rPr>
        <w:t xml:space="preserve"> in tutte le regioni i contratti stipulati a donne sono sempre inferiori a quelli degli uomini</w:t>
      </w:r>
      <w:r w:rsidR="0075083B" w:rsidRPr="0075083B">
        <w:rPr>
          <w:rFonts w:cstheme="minorHAnsi"/>
          <w:lang w:val="it-IT"/>
        </w:rPr>
        <w:t>:</w:t>
      </w:r>
      <w:r w:rsidRPr="0075083B">
        <w:rPr>
          <w:rFonts w:cstheme="minorHAnsi"/>
          <w:lang w:val="it-IT"/>
        </w:rPr>
        <w:t xml:space="preserve"> le donne sono un terzo del totale in Basilicata, Sicilia e Calabria. </w:t>
      </w:r>
      <w:r w:rsidRPr="009F2D3B">
        <w:rPr>
          <w:rFonts w:cstheme="minorHAnsi"/>
          <w:lang w:val="it-IT"/>
        </w:rPr>
        <w:t>Sono sotto il 40% in Calabria, Molise, Puglia, Lombardia, Abruzzo e Lazio; tutte le altre si collocano tra il 41% e il 46,5%. L’ incidenza più elevata viene registrata in Trentino Alto Adige.</w:t>
      </w:r>
      <w:r w:rsidR="00285A10" w:rsidRPr="009F2D3B">
        <w:rPr>
          <w:rFonts w:cstheme="minorHAnsi"/>
          <w:lang w:val="it-IT"/>
        </w:rPr>
        <w:t xml:space="preserve"> </w:t>
      </w:r>
      <w:r w:rsidR="00285A10" w:rsidRPr="0075083B">
        <w:rPr>
          <w:rFonts w:cstheme="minorHAnsi"/>
          <w:lang w:val="it-IT"/>
        </w:rPr>
        <w:t xml:space="preserve">Rispetto alla </w:t>
      </w:r>
      <w:r w:rsidR="001217F8">
        <w:rPr>
          <w:rFonts w:cstheme="minorHAnsi"/>
          <w:lang w:val="it-IT"/>
        </w:rPr>
        <w:t>“</w:t>
      </w:r>
      <w:r w:rsidR="00285A10" w:rsidRPr="0075083B">
        <w:rPr>
          <w:rFonts w:cstheme="minorHAnsi"/>
          <w:lang w:val="it-IT"/>
        </w:rPr>
        <w:t>quantità</w:t>
      </w:r>
      <w:r w:rsidR="001217F8">
        <w:rPr>
          <w:rFonts w:cstheme="minorHAnsi"/>
          <w:lang w:val="it-IT"/>
        </w:rPr>
        <w:t>”</w:t>
      </w:r>
      <w:r w:rsidR="00285A10" w:rsidRPr="0075083B">
        <w:rPr>
          <w:rFonts w:cstheme="minorHAnsi"/>
          <w:lang w:val="it-IT"/>
        </w:rPr>
        <w:t xml:space="preserve"> di nuova occupazione creat</w:t>
      </w:r>
      <w:r w:rsidR="001217F8">
        <w:rPr>
          <w:rFonts w:cstheme="minorHAnsi"/>
          <w:lang w:val="it-IT"/>
        </w:rPr>
        <w:t>a</w:t>
      </w:r>
      <w:r w:rsidR="00285A10" w:rsidRPr="0075083B">
        <w:rPr>
          <w:rFonts w:cstheme="minorHAnsi"/>
          <w:lang w:val="it-IT"/>
        </w:rPr>
        <w:t>, l’Italia presenta 4 scenari diversi:</w:t>
      </w:r>
      <w:r w:rsidR="0075083B" w:rsidRPr="0075083B">
        <w:rPr>
          <w:rFonts w:cstheme="minorHAnsi"/>
          <w:lang w:val="it-IT"/>
        </w:rPr>
        <w:t xml:space="preserve"> Con o</w:t>
      </w:r>
      <w:r w:rsidR="00285A10" w:rsidRPr="0075083B">
        <w:rPr>
          <w:i/>
          <w:lang w:val="it-IT"/>
        </w:rPr>
        <w:t>ltre i 100.000 contratti a donne</w:t>
      </w:r>
      <w:r w:rsidR="0075083B" w:rsidRPr="0075083B">
        <w:rPr>
          <w:lang w:val="it-IT"/>
        </w:rPr>
        <w:t xml:space="preserve"> si collocano</w:t>
      </w:r>
      <w:r w:rsidR="00285A10" w:rsidRPr="0075083B">
        <w:rPr>
          <w:lang w:val="it-IT"/>
        </w:rPr>
        <w:t xml:space="preserve"> Lombardia, Lazio, Emilia Romagna e Veneto</w:t>
      </w:r>
      <w:r w:rsidR="0075083B" w:rsidRPr="0075083B">
        <w:rPr>
          <w:lang w:val="it-IT"/>
        </w:rPr>
        <w:t>; d</w:t>
      </w:r>
      <w:r w:rsidR="00285A10" w:rsidRPr="0075083B">
        <w:rPr>
          <w:i/>
          <w:lang w:val="it-IT"/>
        </w:rPr>
        <w:t>alle 50.000 alle 100.000 attivazioni</w:t>
      </w:r>
      <w:r w:rsidR="00285A10" w:rsidRPr="0075083B">
        <w:rPr>
          <w:lang w:val="it-IT"/>
        </w:rPr>
        <w:t xml:space="preserve"> Toscana, Piemonte, Campania, Puglia e Sicilia</w:t>
      </w:r>
      <w:r w:rsidR="0075083B" w:rsidRPr="0075083B">
        <w:rPr>
          <w:lang w:val="it-IT"/>
        </w:rPr>
        <w:t>; d</w:t>
      </w:r>
      <w:r w:rsidR="00285A10" w:rsidRPr="0075083B">
        <w:rPr>
          <w:i/>
          <w:lang w:val="it-IT"/>
        </w:rPr>
        <w:t>ai 15000 ai 99.000 contratti a donne:</w:t>
      </w:r>
      <w:r w:rsidR="00285A10" w:rsidRPr="0075083B">
        <w:rPr>
          <w:lang w:val="it-IT"/>
        </w:rPr>
        <w:t xml:space="preserve"> Trentino A. Adige, Marche, Sardegna, Liguria, Abruzzo, Friuli, Calabria e Umbria</w:t>
      </w:r>
      <w:r w:rsidR="0075083B" w:rsidRPr="0075083B">
        <w:rPr>
          <w:lang w:val="it-IT"/>
        </w:rPr>
        <w:t xml:space="preserve"> e a</w:t>
      </w:r>
      <w:r w:rsidR="00285A10" w:rsidRPr="0075083B">
        <w:rPr>
          <w:i/>
          <w:lang w:val="it-IT"/>
        </w:rPr>
        <w:t>l di sotto delle 15.000 attivazioni</w:t>
      </w:r>
      <w:r w:rsidR="0075083B" w:rsidRPr="0075083B">
        <w:rPr>
          <w:i/>
          <w:lang w:val="it-IT"/>
        </w:rPr>
        <w:t xml:space="preserve"> sono </w:t>
      </w:r>
      <w:r w:rsidR="00285A10" w:rsidRPr="0075083B">
        <w:rPr>
          <w:lang w:val="it-IT"/>
        </w:rPr>
        <w:t>Basilicata, Valle d’Aosta e Molise</w:t>
      </w:r>
      <w:r w:rsidR="0075083B" w:rsidRPr="0075083B">
        <w:rPr>
          <w:lang w:val="it-IT"/>
        </w:rPr>
        <w:t xml:space="preserve">. “Ma – si legge nel Rapporto – “se si associa questo dato </w:t>
      </w:r>
      <w:r w:rsidR="00285A10" w:rsidRPr="0075083B">
        <w:rPr>
          <w:rFonts w:cstheme="minorHAnsi"/>
          <w:lang w:val="it-IT"/>
        </w:rPr>
        <w:t xml:space="preserve">alla percentuale di stabilità e </w:t>
      </w:r>
      <w:r w:rsidR="0075083B" w:rsidRPr="0075083B">
        <w:rPr>
          <w:rFonts w:cstheme="minorHAnsi"/>
          <w:lang w:val="it-IT"/>
        </w:rPr>
        <w:t>al</w:t>
      </w:r>
      <w:r w:rsidR="00285A10" w:rsidRPr="0075083B">
        <w:rPr>
          <w:rFonts w:cstheme="minorHAnsi"/>
          <w:lang w:val="it-IT"/>
        </w:rPr>
        <w:t>la quota di part time</w:t>
      </w:r>
      <w:r w:rsidR="0075083B" w:rsidRPr="0075083B">
        <w:rPr>
          <w:rFonts w:cstheme="minorHAnsi"/>
          <w:lang w:val="it-IT"/>
        </w:rPr>
        <w:t xml:space="preserve"> (v. figura), si evidenzia che </w:t>
      </w:r>
      <w:r w:rsidR="00285A10" w:rsidRPr="0075083B">
        <w:rPr>
          <w:rFonts w:cstheme="minorHAnsi"/>
          <w:lang w:val="it-IT"/>
        </w:rPr>
        <w:t xml:space="preserve">maggiore occupazione non </w:t>
      </w:r>
      <w:r w:rsidR="0075083B" w:rsidRPr="0075083B">
        <w:rPr>
          <w:rFonts w:cstheme="minorHAnsi"/>
          <w:lang w:val="it-IT"/>
        </w:rPr>
        <w:t xml:space="preserve">sempre </w:t>
      </w:r>
      <w:r w:rsidR="00285A10" w:rsidRPr="0075083B">
        <w:rPr>
          <w:rFonts w:cstheme="minorHAnsi"/>
          <w:lang w:val="it-IT"/>
        </w:rPr>
        <w:t xml:space="preserve">determina automaticamente maggiore stabilità </w:t>
      </w:r>
      <w:r w:rsidR="0075083B" w:rsidRPr="0075083B">
        <w:rPr>
          <w:rFonts w:cstheme="minorHAnsi"/>
          <w:lang w:val="it-IT"/>
        </w:rPr>
        <w:t xml:space="preserve">o </w:t>
      </w:r>
      <w:r w:rsidR="00285A10" w:rsidRPr="0075083B">
        <w:rPr>
          <w:rFonts w:cstheme="minorHAnsi"/>
          <w:lang w:val="it-IT"/>
        </w:rPr>
        <w:t>maggiore redditività.</w:t>
      </w:r>
      <w:r w:rsidR="0075083B" w:rsidRPr="0075083B">
        <w:rPr>
          <w:rFonts w:cstheme="minorHAnsi"/>
          <w:lang w:val="it-IT"/>
        </w:rPr>
        <w:t xml:space="preserve"> Per questo è importante guardare alla ripresa nelle sue reali potenzialità di sostenere una buona occupazione nel lungo periodo” </w:t>
      </w:r>
    </w:p>
    <w:p w14:paraId="4CAB2566" w14:textId="77777777" w:rsidR="0075083B" w:rsidRDefault="0075083B" w:rsidP="00337F55">
      <w:pPr>
        <w:spacing w:line="276" w:lineRule="auto"/>
        <w:jc w:val="both"/>
        <w:rPr>
          <w:rFonts w:cstheme="minorHAnsi"/>
        </w:rPr>
      </w:pPr>
      <w:r w:rsidRPr="006F466E">
        <w:rPr>
          <w:noProof/>
          <w:lang w:eastAsia="it-IT"/>
        </w:rPr>
        <w:drawing>
          <wp:inline distT="0" distB="0" distL="0" distR="0" wp14:anchorId="4EB933E4" wp14:editId="6CE50A8D">
            <wp:extent cx="6120130" cy="4109776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03" cy="411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9730" w14:textId="77777777" w:rsidR="00E40D53" w:rsidRPr="00E40D53" w:rsidRDefault="00E40D53" w:rsidP="00337F55">
      <w:pPr>
        <w:spacing w:line="276" w:lineRule="auto"/>
        <w:jc w:val="both"/>
        <w:rPr>
          <w:rFonts w:cstheme="minorHAnsi"/>
          <w:i/>
          <w:sz w:val="18"/>
          <w:szCs w:val="18"/>
        </w:rPr>
      </w:pPr>
      <w:r w:rsidRPr="00E40D53">
        <w:rPr>
          <w:rFonts w:cstheme="minorHAnsi"/>
          <w:i/>
          <w:sz w:val="18"/>
          <w:szCs w:val="18"/>
        </w:rPr>
        <w:t>Elaborazioni Inapp su Inps 2021</w:t>
      </w:r>
    </w:p>
    <w:p w14:paraId="49A3042C" w14:textId="38EB66A9" w:rsidR="00337F55" w:rsidRDefault="00337F55" w:rsidP="00337F55">
      <w:pPr>
        <w:jc w:val="both"/>
        <w:rPr>
          <w:rFonts w:cstheme="minorHAnsi"/>
        </w:rPr>
      </w:pPr>
      <w:r w:rsidRPr="001217F8">
        <w:rPr>
          <w:rFonts w:cstheme="minorHAnsi"/>
        </w:rPr>
        <w:t>Questo scenario presenta, al momento, una conferma e una sorpresa: la conferma a livello regionale, del dato nazionale circa il traino sull’occupazione creata d</w:t>
      </w:r>
      <w:r w:rsidR="008D5E13">
        <w:rPr>
          <w:rFonts w:cstheme="minorHAnsi"/>
        </w:rPr>
        <w:t>a</w:t>
      </w:r>
      <w:r w:rsidRPr="001217F8">
        <w:rPr>
          <w:rFonts w:cstheme="minorHAnsi"/>
        </w:rPr>
        <w:t xml:space="preserve">lle forme a termine e discontinue e </w:t>
      </w:r>
      <w:r w:rsidR="008D5E13">
        <w:rPr>
          <w:rFonts w:cstheme="minorHAnsi"/>
        </w:rPr>
        <w:t>dal</w:t>
      </w:r>
      <w:r w:rsidRPr="001217F8">
        <w:rPr>
          <w:rFonts w:cstheme="minorHAnsi"/>
        </w:rPr>
        <w:t xml:space="preserve">l’elevata presenza del tempo parziale come condizione di ingresso. La sorpresa è il ruolo delle Regioni del </w:t>
      </w:r>
      <w:r w:rsidRPr="001217F8">
        <w:rPr>
          <w:rFonts w:cstheme="minorHAnsi"/>
        </w:rPr>
        <w:lastRenderedPageBreak/>
        <w:t xml:space="preserve">Mezzogiorno, che pur a fronte di un numero di attivazioni al di sotto delle 80.000 unità presentano un’incidenza del tempo indeterminato superiore alla media nazionale e superiore a quella di diverse regioni del Centro nord. Meno contratti e più stabili, testimonierebbe il caso della Campania ad esempio con oltre 75 mila contratti e il 21,4% a tempo indeterminato. O la Sicilia con 59.230 contratti di cui il 17,7% a tempo indeterminato o la Calabria, in cui i 20.373 contratti presentano una quota stabile del 18%. </w:t>
      </w:r>
      <w:r w:rsidR="00F9423B" w:rsidRPr="001217F8">
        <w:rPr>
          <w:rFonts w:cstheme="minorHAnsi"/>
        </w:rPr>
        <w:t>“</w:t>
      </w:r>
      <w:r w:rsidRPr="001217F8">
        <w:rPr>
          <w:rFonts w:cstheme="minorHAnsi"/>
        </w:rPr>
        <w:t>Attenzione tuttavia, ad</w:t>
      </w:r>
      <w:r w:rsidR="00F9423B" w:rsidRPr="001217F8">
        <w:rPr>
          <w:rFonts w:cstheme="minorHAnsi"/>
        </w:rPr>
        <w:t xml:space="preserve"> un dato che riduce l’ottimismo – concludono i ricercatori </w:t>
      </w:r>
      <w:r w:rsidR="0075083B" w:rsidRPr="001217F8">
        <w:rPr>
          <w:rFonts w:cstheme="minorHAnsi"/>
        </w:rPr>
        <w:t xml:space="preserve">e le ricercatrici </w:t>
      </w:r>
      <w:r w:rsidR="00F9423B" w:rsidRPr="001217F8">
        <w:rPr>
          <w:rFonts w:cstheme="minorHAnsi"/>
        </w:rPr>
        <w:t>-</w:t>
      </w:r>
      <w:r w:rsidRPr="001217F8">
        <w:rPr>
          <w:rFonts w:cstheme="minorHAnsi"/>
        </w:rPr>
        <w:t xml:space="preserve"> Proprio in queste regioni, accanto alla ridotta nuova occupazione continua a registrarsi la quota di tempo parziale femminile tra le più alte d’Italia</w:t>
      </w:r>
      <w:r w:rsidR="00F9423B" w:rsidRPr="001217F8">
        <w:rPr>
          <w:rFonts w:cstheme="minorHAnsi"/>
        </w:rPr>
        <w:t>”</w:t>
      </w:r>
      <w:r w:rsidR="00067146" w:rsidRPr="001217F8">
        <w:rPr>
          <w:rFonts w:cstheme="minorHAnsi"/>
        </w:rPr>
        <w:t xml:space="preserve">, </w:t>
      </w:r>
      <w:r w:rsidR="00E40D53" w:rsidRPr="001217F8">
        <w:rPr>
          <w:rFonts w:cstheme="minorHAnsi"/>
        </w:rPr>
        <w:t>fattore che</w:t>
      </w:r>
      <w:r w:rsidR="00067146" w:rsidRPr="001217F8">
        <w:rPr>
          <w:rFonts w:cstheme="minorHAnsi"/>
        </w:rPr>
        <w:t xml:space="preserve"> rappresenta </w:t>
      </w:r>
      <w:r w:rsidR="00E40D53" w:rsidRPr="001217F8">
        <w:rPr>
          <w:rFonts w:cstheme="minorHAnsi"/>
        </w:rPr>
        <w:t>una delle cause de</w:t>
      </w:r>
      <w:r w:rsidR="00067146" w:rsidRPr="001217F8">
        <w:rPr>
          <w:rFonts w:cstheme="minorHAnsi"/>
        </w:rPr>
        <w:t>i già elevati differenziali retributivi tra uomini e donne.</w:t>
      </w:r>
    </w:p>
    <w:p w14:paraId="39CE3E02" w14:textId="382D99AF" w:rsidR="00E413F6" w:rsidRDefault="00E413F6" w:rsidP="00337F55">
      <w:pPr>
        <w:jc w:val="both"/>
        <w:rPr>
          <w:rFonts w:cstheme="minorHAnsi"/>
        </w:rPr>
      </w:pPr>
    </w:p>
    <w:p w14:paraId="4C883136" w14:textId="77777777" w:rsidR="001D1F23" w:rsidRPr="00005DCA" w:rsidRDefault="001D1F23" w:rsidP="001D1F23">
      <w:pPr>
        <w:spacing w:after="0" w:line="276" w:lineRule="auto"/>
        <w:jc w:val="both"/>
        <w:rPr>
          <w:rFonts w:cstheme="minorHAnsi"/>
        </w:rPr>
      </w:pPr>
      <w:r w:rsidRPr="00005DCA">
        <w:rPr>
          <w:rFonts w:cstheme="minorHAnsi"/>
        </w:rPr>
        <w:t>Per maggiori informazioni:</w:t>
      </w:r>
    </w:p>
    <w:p w14:paraId="1FD4C042" w14:textId="77777777" w:rsidR="001D1F23" w:rsidRPr="00005DCA" w:rsidRDefault="001D1F23" w:rsidP="001D1F23">
      <w:pPr>
        <w:spacing w:after="0" w:line="276" w:lineRule="auto"/>
        <w:jc w:val="both"/>
        <w:rPr>
          <w:rFonts w:cstheme="minorHAnsi"/>
        </w:rPr>
      </w:pPr>
      <w:r w:rsidRPr="00005DCA">
        <w:rPr>
          <w:rFonts w:cstheme="minorHAnsi"/>
        </w:rPr>
        <w:t>Giancarlo Salemi</w:t>
      </w:r>
    </w:p>
    <w:p w14:paraId="3FE05D12" w14:textId="77777777" w:rsidR="001D1F23" w:rsidRPr="00005DCA" w:rsidRDefault="001D1F23" w:rsidP="001D1F23">
      <w:pPr>
        <w:spacing w:after="0" w:line="276" w:lineRule="auto"/>
        <w:jc w:val="both"/>
        <w:rPr>
          <w:rFonts w:cstheme="minorHAnsi"/>
        </w:rPr>
      </w:pPr>
      <w:r w:rsidRPr="00005DCA">
        <w:rPr>
          <w:rFonts w:cstheme="minorHAnsi"/>
        </w:rPr>
        <w:t>Portavoce Presidente INAPP (347 6312823)</w:t>
      </w:r>
    </w:p>
    <w:p w14:paraId="486DA8F0" w14:textId="1D5F651E" w:rsidR="00E413F6" w:rsidRPr="001217F8" w:rsidRDefault="000F3D79" w:rsidP="001D1F23">
      <w:pPr>
        <w:spacing w:after="0" w:line="276" w:lineRule="auto"/>
        <w:jc w:val="both"/>
        <w:rPr>
          <w:rFonts w:cstheme="minorHAnsi"/>
        </w:rPr>
      </w:pPr>
      <w:hyperlink r:id="rId9" w:history="1">
        <w:r w:rsidR="001D1F23" w:rsidRPr="00C76B8B">
          <w:rPr>
            <w:rStyle w:val="Collegamentoipertestuale"/>
            <w:rFonts w:cstheme="minorHAnsi"/>
          </w:rPr>
          <w:t>stampa@inapp.org</w:t>
        </w:r>
      </w:hyperlink>
      <w:bookmarkEnd w:id="0"/>
    </w:p>
    <w:sectPr w:rsidR="00E413F6" w:rsidRPr="001217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F31DF" w14:textId="77777777" w:rsidR="000254A6" w:rsidRDefault="000254A6" w:rsidP="00337F55">
      <w:pPr>
        <w:spacing w:after="0" w:line="240" w:lineRule="auto"/>
      </w:pPr>
      <w:r>
        <w:separator/>
      </w:r>
    </w:p>
  </w:endnote>
  <w:endnote w:type="continuationSeparator" w:id="0">
    <w:p w14:paraId="158F6877" w14:textId="77777777" w:rsidR="000254A6" w:rsidRDefault="000254A6" w:rsidP="0033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2F782" w14:textId="77777777" w:rsidR="000254A6" w:rsidRDefault="000254A6" w:rsidP="00337F55">
      <w:pPr>
        <w:spacing w:after="0" w:line="240" w:lineRule="auto"/>
      </w:pPr>
      <w:r>
        <w:separator/>
      </w:r>
    </w:p>
  </w:footnote>
  <w:footnote w:type="continuationSeparator" w:id="0">
    <w:p w14:paraId="5F984393" w14:textId="77777777" w:rsidR="000254A6" w:rsidRDefault="000254A6" w:rsidP="0033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350"/>
    <w:multiLevelType w:val="hybridMultilevel"/>
    <w:tmpl w:val="4C664F34"/>
    <w:lvl w:ilvl="0" w:tplc="FF889728">
      <w:start w:val="1"/>
      <w:numFmt w:val="decimal"/>
      <w:lvlText w:val="%1."/>
      <w:lvlJc w:val="left"/>
      <w:pPr>
        <w:ind w:left="41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352C0B65"/>
    <w:multiLevelType w:val="hybridMultilevel"/>
    <w:tmpl w:val="A7364F92"/>
    <w:lvl w:ilvl="0" w:tplc="D4B4A1F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F65C4"/>
    <w:multiLevelType w:val="hybridMultilevel"/>
    <w:tmpl w:val="D49A978A"/>
    <w:lvl w:ilvl="0" w:tplc="0410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FE"/>
    <w:rsid w:val="000254A6"/>
    <w:rsid w:val="00051500"/>
    <w:rsid w:val="00067146"/>
    <w:rsid w:val="000756A3"/>
    <w:rsid w:val="00083A87"/>
    <w:rsid w:val="000F3D79"/>
    <w:rsid w:val="001165B8"/>
    <w:rsid w:val="001217F8"/>
    <w:rsid w:val="001A68FD"/>
    <w:rsid w:val="001D1F23"/>
    <w:rsid w:val="001F1FFD"/>
    <w:rsid w:val="00285A10"/>
    <w:rsid w:val="002C1505"/>
    <w:rsid w:val="00337F55"/>
    <w:rsid w:val="003767B4"/>
    <w:rsid w:val="00383540"/>
    <w:rsid w:val="003B1D6D"/>
    <w:rsid w:val="003E7CFE"/>
    <w:rsid w:val="004C1413"/>
    <w:rsid w:val="005024C0"/>
    <w:rsid w:val="005C5620"/>
    <w:rsid w:val="00656589"/>
    <w:rsid w:val="00686330"/>
    <w:rsid w:val="006B2924"/>
    <w:rsid w:val="006F58F8"/>
    <w:rsid w:val="00721730"/>
    <w:rsid w:val="0075083B"/>
    <w:rsid w:val="00751551"/>
    <w:rsid w:val="00825FC1"/>
    <w:rsid w:val="008D5E13"/>
    <w:rsid w:val="00971E9B"/>
    <w:rsid w:val="00985C23"/>
    <w:rsid w:val="009B0DEC"/>
    <w:rsid w:val="009F2D3B"/>
    <w:rsid w:val="00A913EC"/>
    <w:rsid w:val="00AB6E97"/>
    <w:rsid w:val="00B23D87"/>
    <w:rsid w:val="00B36AA6"/>
    <w:rsid w:val="00B54D08"/>
    <w:rsid w:val="00BE4323"/>
    <w:rsid w:val="00BE556C"/>
    <w:rsid w:val="00CB7799"/>
    <w:rsid w:val="00D06F4D"/>
    <w:rsid w:val="00D4358B"/>
    <w:rsid w:val="00D81E77"/>
    <w:rsid w:val="00DB5613"/>
    <w:rsid w:val="00E40D53"/>
    <w:rsid w:val="00E413F6"/>
    <w:rsid w:val="00ED3832"/>
    <w:rsid w:val="00F1790C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20B5"/>
  <w15:chartTrackingRefBased/>
  <w15:docId w15:val="{CF5AD8C3-B0D6-4FC8-BEB1-BC3D3C6F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CFE"/>
    <w:pPr>
      <w:ind w:left="720"/>
      <w:contextualSpacing/>
    </w:pPr>
    <w:rPr>
      <w:lang w:val="en-GB"/>
    </w:rPr>
  </w:style>
  <w:style w:type="character" w:styleId="Rimandonotaapidipagina">
    <w:name w:val="footnote reference"/>
    <w:aliases w:val="Footnote symbol,Nota,Appel note de bas de p,SUPERS,BVI fnr,Libro - Nota a piè di pagina,Times 10 Point,Exposant 3 Point,Footnote number,Footnote Reference Number,Footnote reference number,note TESI,fr,o,FR,Voetnootverwijzing"/>
    <w:basedOn w:val="Carpredefinitoparagrafo"/>
    <w:uiPriority w:val="99"/>
    <w:unhideWhenUsed/>
    <w:qFormat/>
    <w:rsid w:val="00337F5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7F55"/>
    <w:pPr>
      <w:spacing w:after="0" w:line="240" w:lineRule="auto"/>
    </w:pPr>
    <w:rPr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7F55"/>
    <w:rPr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1D1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mpa@inapp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15</cp:revision>
  <cp:lastPrinted>2021-12-16T11:52:00Z</cp:lastPrinted>
  <dcterms:created xsi:type="dcterms:W3CDTF">2021-12-14T11:34:00Z</dcterms:created>
  <dcterms:modified xsi:type="dcterms:W3CDTF">2021-12-20T08:32:00Z</dcterms:modified>
</cp:coreProperties>
</file>