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D513" w14:textId="14D951C4" w:rsidR="00AF0316" w:rsidRDefault="00AF0316" w:rsidP="003854EE">
      <w:pPr>
        <w:jc w:val="center"/>
        <w:rPr>
          <w:rFonts w:asciiTheme="majorHAnsi" w:hAnsiTheme="majorHAnsi" w:cstheme="majorHAnsi"/>
          <w:sz w:val="24"/>
          <w:szCs w:val="24"/>
          <w:u w:val="single"/>
          <w:lang w:val="it-IT"/>
        </w:rPr>
      </w:pPr>
      <w:r>
        <w:rPr>
          <w:rFonts w:asciiTheme="majorHAnsi" w:hAnsiTheme="majorHAnsi" w:cstheme="majorHAnsi"/>
          <w:noProof/>
          <w:sz w:val="24"/>
          <w:szCs w:val="24"/>
          <w:u w:val="single"/>
          <w:lang w:val="it-IT" w:eastAsia="it-IT"/>
        </w:rPr>
        <w:drawing>
          <wp:inline distT="0" distB="0" distL="0" distR="0" wp14:anchorId="702276E9" wp14:editId="1935A9B7">
            <wp:extent cx="1750138" cy="1187917"/>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app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5319" cy="1205009"/>
                    </a:xfrm>
                    <a:prstGeom prst="rect">
                      <a:avLst/>
                    </a:prstGeom>
                  </pic:spPr>
                </pic:pic>
              </a:graphicData>
            </a:graphic>
          </wp:inline>
        </w:drawing>
      </w:r>
    </w:p>
    <w:p w14:paraId="4AFF7AD7" w14:textId="097226B4" w:rsidR="00D86A34" w:rsidRPr="00AF0316" w:rsidRDefault="00D86A34" w:rsidP="003854EE">
      <w:pPr>
        <w:jc w:val="center"/>
        <w:rPr>
          <w:rFonts w:asciiTheme="majorHAnsi" w:hAnsiTheme="majorHAnsi" w:cstheme="majorHAnsi"/>
          <w:sz w:val="28"/>
          <w:szCs w:val="24"/>
          <w:u w:val="single"/>
          <w:lang w:val="it-IT"/>
        </w:rPr>
      </w:pPr>
      <w:bookmarkStart w:id="0" w:name="OLE_LINK1"/>
      <w:bookmarkStart w:id="1" w:name="OLE_LINK2"/>
      <w:bookmarkStart w:id="2" w:name="OLE_LINK3"/>
      <w:r w:rsidRPr="00AF0316">
        <w:rPr>
          <w:rFonts w:asciiTheme="majorHAnsi" w:hAnsiTheme="majorHAnsi" w:cstheme="majorHAnsi"/>
          <w:sz w:val="28"/>
          <w:szCs w:val="24"/>
          <w:u w:val="single"/>
          <w:lang w:val="it-IT"/>
        </w:rPr>
        <w:t>COMUNICATO STAMPA</w:t>
      </w:r>
    </w:p>
    <w:p w14:paraId="6F328147" w14:textId="4890E8A3" w:rsidR="00A00C3E" w:rsidRPr="00D86A34" w:rsidRDefault="008C58CC" w:rsidP="003854EE">
      <w:pPr>
        <w:jc w:val="center"/>
        <w:rPr>
          <w:rFonts w:asciiTheme="majorHAnsi" w:hAnsiTheme="majorHAnsi" w:cstheme="majorHAnsi"/>
          <w:lang w:val="it-IT"/>
        </w:rPr>
      </w:pPr>
      <w:r>
        <w:rPr>
          <w:rFonts w:asciiTheme="majorHAnsi" w:hAnsiTheme="majorHAnsi" w:cstheme="majorHAnsi"/>
          <w:lang w:val="it-IT"/>
        </w:rPr>
        <w:t>Anticipazione dei</w:t>
      </w:r>
      <w:r w:rsidR="00D86A34">
        <w:rPr>
          <w:rFonts w:asciiTheme="majorHAnsi" w:hAnsiTheme="majorHAnsi" w:cstheme="majorHAnsi"/>
          <w:lang w:val="it-IT"/>
        </w:rPr>
        <w:t xml:space="preserve"> risultati del </w:t>
      </w:r>
      <w:r w:rsidR="00A00C3E" w:rsidRPr="00D86A34">
        <w:rPr>
          <w:rFonts w:asciiTheme="majorHAnsi" w:hAnsiTheme="majorHAnsi" w:cstheme="majorHAnsi"/>
          <w:lang w:val="it-IT"/>
        </w:rPr>
        <w:t>policy brief “Una ripresa…</w:t>
      </w:r>
      <w:r w:rsidR="00AF0316">
        <w:rPr>
          <w:rFonts w:asciiTheme="majorHAnsi" w:hAnsiTheme="majorHAnsi" w:cstheme="majorHAnsi"/>
          <w:lang w:val="it-IT"/>
        </w:rPr>
        <w:t xml:space="preserve"> </w:t>
      </w:r>
      <w:r w:rsidR="00A00C3E" w:rsidRPr="00D86A34">
        <w:rPr>
          <w:rFonts w:asciiTheme="majorHAnsi" w:hAnsiTheme="majorHAnsi" w:cstheme="majorHAnsi"/>
          <w:lang w:val="it-IT"/>
        </w:rPr>
        <w:t>a tempo parziale”</w:t>
      </w:r>
    </w:p>
    <w:p w14:paraId="56888784" w14:textId="35F2DB01" w:rsidR="00415CAD" w:rsidRPr="00D86A34" w:rsidRDefault="00415CAD" w:rsidP="003854EE">
      <w:pPr>
        <w:jc w:val="center"/>
        <w:rPr>
          <w:rFonts w:asciiTheme="majorHAnsi" w:hAnsiTheme="majorHAnsi" w:cstheme="majorHAnsi"/>
          <w:b/>
          <w:bCs/>
          <w:sz w:val="36"/>
          <w:szCs w:val="36"/>
          <w:lang w:val="it-IT"/>
        </w:rPr>
      </w:pPr>
      <w:r w:rsidRPr="00D86A34">
        <w:rPr>
          <w:rFonts w:asciiTheme="majorHAnsi" w:hAnsiTheme="majorHAnsi" w:cstheme="majorHAnsi"/>
          <w:b/>
          <w:bCs/>
          <w:sz w:val="36"/>
          <w:szCs w:val="36"/>
          <w:lang w:val="it-IT"/>
        </w:rPr>
        <w:t xml:space="preserve">LAVORO, INAPP: “BOOM DEL PART TIME </w:t>
      </w:r>
      <w:r w:rsidR="00E44ED5">
        <w:rPr>
          <w:rFonts w:asciiTheme="majorHAnsi" w:hAnsiTheme="majorHAnsi" w:cstheme="majorHAnsi"/>
          <w:b/>
          <w:bCs/>
          <w:sz w:val="36"/>
          <w:szCs w:val="36"/>
          <w:lang w:val="it-IT"/>
        </w:rPr>
        <w:t xml:space="preserve">OLTRE </w:t>
      </w:r>
      <w:r w:rsidRPr="00D86A34">
        <w:rPr>
          <w:rFonts w:asciiTheme="majorHAnsi" w:hAnsiTheme="majorHAnsi" w:cstheme="majorHAnsi"/>
          <w:b/>
          <w:bCs/>
          <w:sz w:val="36"/>
          <w:szCs w:val="36"/>
          <w:lang w:val="it-IT"/>
        </w:rPr>
        <w:t>35</w:t>
      </w:r>
      <w:r w:rsidR="00E44ED5">
        <w:rPr>
          <w:rFonts w:asciiTheme="majorHAnsi" w:hAnsiTheme="majorHAnsi" w:cstheme="majorHAnsi"/>
          <w:b/>
          <w:bCs/>
          <w:sz w:val="36"/>
          <w:szCs w:val="36"/>
          <w:lang w:val="it-IT"/>
        </w:rPr>
        <w:t>%</w:t>
      </w:r>
      <w:r w:rsidRPr="00D86A34">
        <w:rPr>
          <w:rFonts w:asciiTheme="majorHAnsi" w:hAnsiTheme="majorHAnsi" w:cstheme="majorHAnsi"/>
          <w:b/>
          <w:bCs/>
          <w:sz w:val="36"/>
          <w:szCs w:val="36"/>
          <w:lang w:val="it-IT"/>
        </w:rPr>
        <w:t xml:space="preserve"> NEL PRIMO SEMESTRE, RISCHIO </w:t>
      </w:r>
      <w:r w:rsidR="00D04A43" w:rsidRPr="00D86A34">
        <w:rPr>
          <w:rFonts w:asciiTheme="majorHAnsi" w:hAnsiTheme="majorHAnsi" w:cstheme="majorHAnsi"/>
          <w:b/>
          <w:bCs/>
          <w:sz w:val="36"/>
          <w:szCs w:val="36"/>
          <w:lang w:val="it-IT"/>
        </w:rPr>
        <w:t xml:space="preserve">DI UNA </w:t>
      </w:r>
      <w:r w:rsidRPr="00D86A34">
        <w:rPr>
          <w:rFonts w:asciiTheme="majorHAnsi" w:hAnsiTheme="majorHAnsi" w:cstheme="majorHAnsi"/>
          <w:b/>
          <w:bCs/>
          <w:sz w:val="36"/>
          <w:szCs w:val="36"/>
          <w:lang w:val="it-IT"/>
        </w:rPr>
        <w:t>RIPRESA NON STRUTTURALE”</w:t>
      </w:r>
    </w:p>
    <w:p w14:paraId="46E7BC02" w14:textId="0C6D702B" w:rsidR="00A00C3E" w:rsidRPr="00D86A34" w:rsidRDefault="00A00C3E" w:rsidP="004B3708">
      <w:pPr>
        <w:jc w:val="both"/>
        <w:rPr>
          <w:rFonts w:asciiTheme="majorHAnsi" w:hAnsiTheme="majorHAnsi" w:cstheme="majorHAnsi"/>
          <w:i/>
          <w:iCs/>
          <w:lang w:val="it-IT"/>
        </w:rPr>
      </w:pPr>
      <w:r w:rsidRPr="00D86A34">
        <w:rPr>
          <w:rFonts w:asciiTheme="majorHAnsi" w:hAnsiTheme="majorHAnsi" w:cstheme="majorHAnsi"/>
          <w:i/>
          <w:iCs/>
          <w:lang w:val="it-IT"/>
        </w:rPr>
        <w:t>L’occupazione è ripartita, sono oltre 3,3 milioni i nuovi contratti attivati ma di questi oltre un milione sono part time il più delle volte “involontario”, ovvero non richiesto dal lavoratore ma proposto dalle imprese. Si incrementano le differenze di genere: quasi la metà delle nuove assunzioni di donne è a tempo parziale contro il 26,6% degli uomini.</w:t>
      </w:r>
      <w:r w:rsidR="00F727DB" w:rsidRPr="00D86A34">
        <w:rPr>
          <w:rFonts w:asciiTheme="majorHAnsi" w:hAnsiTheme="majorHAnsi" w:cstheme="majorHAnsi"/>
          <w:i/>
          <w:iCs/>
          <w:lang w:val="it-IT"/>
        </w:rPr>
        <w:t xml:space="preserve"> </w:t>
      </w:r>
      <w:r w:rsidR="006237D9" w:rsidRPr="00D86A34">
        <w:rPr>
          <w:rFonts w:asciiTheme="majorHAnsi" w:hAnsiTheme="majorHAnsi" w:cstheme="majorHAnsi"/>
          <w:i/>
          <w:iCs/>
          <w:lang w:val="it-IT"/>
        </w:rPr>
        <w:t xml:space="preserve">Aumenta anche </w:t>
      </w:r>
      <w:r w:rsidR="00F727DB" w:rsidRPr="00D86A34">
        <w:rPr>
          <w:rFonts w:asciiTheme="majorHAnsi" w:hAnsiTheme="majorHAnsi" w:cstheme="majorHAnsi"/>
          <w:i/>
          <w:iCs/>
          <w:lang w:val="it-IT"/>
        </w:rPr>
        <w:t>la debolezza dei contratti femminili</w:t>
      </w:r>
      <w:r w:rsidR="006237D9" w:rsidRPr="00D86A34">
        <w:rPr>
          <w:rFonts w:asciiTheme="majorHAnsi" w:hAnsiTheme="majorHAnsi" w:cstheme="majorHAnsi"/>
          <w:i/>
          <w:iCs/>
          <w:lang w:val="it-IT"/>
        </w:rPr>
        <w:t xml:space="preserve">: </w:t>
      </w:r>
      <w:r w:rsidR="004B3AD4" w:rsidRPr="00D86A34">
        <w:rPr>
          <w:rFonts w:asciiTheme="majorHAnsi" w:hAnsiTheme="majorHAnsi" w:cstheme="majorHAnsi"/>
          <w:i/>
          <w:iCs/>
          <w:lang w:val="it-IT"/>
        </w:rPr>
        <w:t>per il 42% delle donne</w:t>
      </w:r>
      <w:r w:rsidR="00757C5D" w:rsidRPr="00D86A34">
        <w:rPr>
          <w:rFonts w:asciiTheme="majorHAnsi" w:hAnsiTheme="majorHAnsi" w:cstheme="majorHAnsi"/>
          <w:i/>
          <w:iCs/>
          <w:lang w:val="it-IT"/>
        </w:rPr>
        <w:t xml:space="preserve"> (e solo </w:t>
      </w:r>
      <w:r w:rsidR="00736E9B" w:rsidRPr="00D86A34">
        <w:rPr>
          <w:rFonts w:asciiTheme="majorHAnsi" w:hAnsiTheme="majorHAnsi" w:cstheme="majorHAnsi"/>
          <w:i/>
          <w:iCs/>
          <w:lang w:val="it-IT"/>
        </w:rPr>
        <w:t>per il</w:t>
      </w:r>
      <w:r w:rsidR="00757C5D" w:rsidRPr="00D86A34">
        <w:rPr>
          <w:rFonts w:asciiTheme="majorHAnsi" w:hAnsiTheme="majorHAnsi" w:cstheme="majorHAnsi"/>
          <w:i/>
          <w:iCs/>
          <w:lang w:val="it-IT"/>
        </w:rPr>
        <w:t xml:space="preserve"> 22% degli uomini)</w:t>
      </w:r>
      <w:r w:rsidR="004B3AD4" w:rsidRPr="00D86A34">
        <w:rPr>
          <w:rFonts w:asciiTheme="majorHAnsi" w:hAnsiTheme="majorHAnsi" w:cstheme="majorHAnsi"/>
          <w:i/>
          <w:iCs/>
          <w:lang w:val="it-IT"/>
        </w:rPr>
        <w:t xml:space="preserve"> </w:t>
      </w:r>
      <w:r w:rsidR="00646204" w:rsidRPr="00D86A34">
        <w:rPr>
          <w:rFonts w:asciiTheme="majorHAnsi" w:hAnsiTheme="majorHAnsi" w:cstheme="majorHAnsi"/>
          <w:i/>
          <w:iCs/>
          <w:lang w:val="it-IT"/>
        </w:rPr>
        <w:t>l’orario ridotto</w:t>
      </w:r>
      <w:r w:rsidR="004B3AD4" w:rsidRPr="00D86A34">
        <w:rPr>
          <w:rFonts w:asciiTheme="majorHAnsi" w:hAnsiTheme="majorHAnsi" w:cstheme="majorHAnsi"/>
          <w:i/>
          <w:iCs/>
          <w:lang w:val="it-IT"/>
        </w:rPr>
        <w:t xml:space="preserve"> si associa </w:t>
      </w:r>
      <w:r w:rsidR="008E3E76" w:rsidRPr="00D86A34">
        <w:rPr>
          <w:rFonts w:asciiTheme="majorHAnsi" w:hAnsiTheme="majorHAnsi" w:cstheme="majorHAnsi"/>
          <w:i/>
          <w:iCs/>
          <w:lang w:val="it-IT"/>
        </w:rPr>
        <w:t>a contra</w:t>
      </w:r>
      <w:r w:rsidR="00D063B3" w:rsidRPr="00D86A34">
        <w:rPr>
          <w:rFonts w:asciiTheme="majorHAnsi" w:hAnsiTheme="majorHAnsi" w:cstheme="majorHAnsi"/>
          <w:i/>
          <w:iCs/>
          <w:lang w:val="it-IT"/>
        </w:rPr>
        <w:t>t</w:t>
      </w:r>
      <w:r w:rsidR="008E3E76" w:rsidRPr="00D86A34">
        <w:rPr>
          <w:rFonts w:asciiTheme="majorHAnsi" w:hAnsiTheme="majorHAnsi" w:cstheme="majorHAnsi"/>
          <w:i/>
          <w:iCs/>
          <w:lang w:val="it-IT"/>
        </w:rPr>
        <w:t>ti a termine o discontinui</w:t>
      </w:r>
      <w:r w:rsidR="00C958C0" w:rsidRPr="00D86A34">
        <w:rPr>
          <w:rFonts w:asciiTheme="majorHAnsi" w:hAnsiTheme="majorHAnsi" w:cstheme="majorHAnsi"/>
          <w:i/>
          <w:iCs/>
          <w:lang w:val="it-IT"/>
        </w:rPr>
        <w:t>.</w:t>
      </w:r>
    </w:p>
    <w:p w14:paraId="4B9ED791" w14:textId="39D7B0AE" w:rsidR="00CF277F" w:rsidRPr="00D86A34" w:rsidRDefault="00415CAD" w:rsidP="004B3708">
      <w:pPr>
        <w:jc w:val="both"/>
        <w:rPr>
          <w:rFonts w:asciiTheme="majorHAnsi" w:hAnsiTheme="majorHAnsi" w:cstheme="majorHAnsi"/>
          <w:lang w:val="it-IT"/>
        </w:rPr>
      </w:pPr>
      <w:r w:rsidRPr="00D86A34">
        <w:rPr>
          <w:rFonts w:asciiTheme="majorHAnsi" w:hAnsiTheme="majorHAnsi" w:cstheme="majorHAnsi"/>
          <w:lang w:val="it-IT"/>
        </w:rPr>
        <w:t xml:space="preserve">Roma, </w:t>
      </w:r>
      <w:r w:rsidR="008C58CC">
        <w:rPr>
          <w:rFonts w:asciiTheme="majorHAnsi" w:hAnsiTheme="majorHAnsi" w:cstheme="majorHAnsi"/>
          <w:lang w:val="it-IT"/>
        </w:rPr>
        <w:t>17</w:t>
      </w:r>
      <w:r w:rsidR="00D86A34">
        <w:rPr>
          <w:rFonts w:asciiTheme="majorHAnsi" w:hAnsiTheme="majorHAnsi" w:cstheme="majorHAnsi"/>
          <w:lang w:val="it-IT"/>
        </w:rPr>
        <w:t xml:space="preserve"> </w:t>
      </w:r>
      <w:r w:rsidRPr="00D86A34">
        <w:rPr>
          <w:rFonts w:asciiTheme="majorHAnsi" w:hAnsiTheme="majorHAnsi" w:cstheme="majorHAnsi"/>
          <w:lang w:val="it-IT"/>
        </w:rPr>
        <w:t xml:space="preserve">novembre 2021 - </w:t>
      </w:r>
      <w:r w:rsidR="004B3708" w:rsidRPr="00D86A34">
        <w:rPr>
          <w:rFonts w:asciiTheme="majorHAnsi" w:hAnsiTheme="majorHAnsi" w:cstheme="majorHAnsi"/>
          <w:lang w:val="it-IT"/>
        </w:rPr>
        <w:t>Dopo oltre un anno e mezzo dall</w:t>
      </w:r>
      <w:r w:rsidR="00DF49C7" w:rsidRPr="00D86A34">
        <w:rPr>
          <w:rFonts w:asciiTheme="majorHAnsi" w:hAnsiTheme="majorHAnsi" w:cstheme="majorHAnsi"/>
          <w:lang w:val="it-IT"/>
        </w:rPr>
        <w:t>’inizio</w:t>
      </w:r>
      <w:r w:rsidR="004B3708" w:rsidRPr="00D86A34">
        <w:rPr>
          <w:rFonts w:asciiTheme="majorHAnsi" w:hAnsiTheme="majorHAnsi" w:cstheme="majorHAnsi"/>
          <w:lang w:val="it-IT"/>
        </w:rPr>
        <w:t xml:space="preserve"> pandemia, nel primo semestre d</w:t>
      </w:r>
      <w:r w:rsidR="00DF49C7" w:rsidRPr="00D86A34">
        <w:rPr>
          <w:rFonts w:asciiTheme="majorHAnsi" w:hAnsiTheme="majorHAnsi" w:cstheme="majorHAnsi"/>
          <w:lang w:val="it-IT"/>
        </w:rPr>
        <w:t>el 2021</w:t>
      </w:r>
      <w:r w:rsidR="004B3708" w:rsidRPr="00D86A34">
        <w:rPr>
          <w:rFonts w:asciiTheme="majorHAnsi" w:hAnsiTheme="majorHAnsi" w:cstheme="majorHAnsi"/>
          <w:lang w:val="it-IT"/>
        </w:rPr>
        <w:t xml:space="preserve"> l’occupazione nel nostro Paese è ripartita ma è sempre più “part time” che è il più delle volte “involontario”</w:t>
      </w:r>
      <w:r w:rsidR="00DF49C7" w:rsidRPr="00D86A34">
        <w:rPr>
          <w:rFonts w:asciiTheme="majorHAnsi" w:hAnsiTheme="majorHAnsi" w:cstheme="majorHAnsi"/>
          <w:lang w:val="it-IT"/>
        </w:rPr>
        <w:t>,</w:t>
      </w:r>
      <w:r w:rsidR="004B3708" w:rsidRPr="00D86A34">
        <w:rPr>
          <w:rFonts w:asciiTheme="majorHAnsi" w:hAnsiTheme="majorHAnsi" w:cstheme="majorHAnsi"/>
          <w:lang w:val="it-IT"/>
        </w:rPr>
        <w:t xml:space="preserve"> non richiesto </w:t>
      </w:r>
      <w:r w:rsidR="00DF49C7" w:rsidRPr="00D86A34">
        <w:rPr>
          <w:rFonts w:asciiTheme="majorHAnsi" w:hAnsiTheme="majorHAnsi" w:cstheme="majorHAnsi"/>
          <w:lang w:val="it-IT"/>
        </w:rPr>
        <w:t xml:space="preserve">cioè </w:t>
      </w:r>
      <w:r w:rsidR="004B3708" w:rsidRPr="00D86A34">
        <w:rPr>
          <w:rFonts w:asciiTheme="majorHAnsi" w:hAnsiTheme="majorHAnsi" w:cstheme="majorHAnsi"/>
          <w:lang w:val="it-IT"/>
        </w:rPr>
        <w:t xml:space="preserve">dal lavoratore o dalla lavoratrice per esigenze previste dalla legge, ma proposto come condizione contrattuale di accesso al lavoro dalle imprese. </w:t>
      </w:r>
    </w:p>
    <w:p w14:paraId="27C7AE3B" w14:textId="22A1E213" w:rsidR="00DF0C60" w:rsidRPr="00D86A34" w:rsidRDefault="004B3708" w:rsidP="004B3708">
      <w:pPr>
        <w:jc w:val="both"/>
        <w:rPr>
          <w:rFonts w:asciiTheme="majorHAnsi" w:hAnsiTheme="majorHAnsi" w:cstheme="majorHAnsi"/>
          <w:lang w:val="it-IT"/>
        </w:rPr>
      </w:pPr>
      <w:r w:rsidRPr="00D86A34">
        <w:rPr>
          <w:rFonts w:asciiTheme="majorHAnsi" w:hAnsiTheme="majorHAnsi" w:cstheme="majorHAnsi"/>
          <w:lang w:val="it-IT"/>
        </w:rPr>
        <w:t xml:space="preserve">A giugno </w:t>
      </w:r>
      <w:r w:rsidR="00DF49C7" w:rsidRPr="00D86A34">
        <w:rPr>
          <w:rFonts w:asciiTheme="majorHAnsi" w:hAnsiTheme="majorHAnsi" w:cstheme="majorHAnsi"/>
          <w:lang w:val="it-IT"/>
        </w:rPr>
        <w:t>di questo anno,</w:t>
      </w:r>
      <w:r w:rsidRPr="00D86A34">
        <w:rPr>
          <w:rFonts w:asciiTheme="majorHAnsi" w:hAnsiTheme="majorHAnsi" w:cstheme="majorHAnsi"/>
          <w:lang w:val="it-IT"/>
        </w:rPr>
        <w:t xml:space="preserve"> dei 3.322.634 contratti complessivamente attivati</w:t>
      </w:r>
      <w:r w:rsidR="00F21D37" w:rsidRPr="00D86A34">
        <w:rPr>
          <w:rFonts w:asciiTheme="majorHAnsi" w:hAnsiTheme="majorHAnsi" w:cstheme="majorHAnsi"/>
          <w:lang w:val="it-IT"/>
        </w:rPr>
        <w:t xml:space="preserve"> (di cui 2.006.617 a uomini e 1.316.017 a donne)</w:t>
      </w:r>
      <w:r w:rsidRPr="00D86A34">
        <w:rPr>
          <w:rFonts w:asciiTheme="majorHAnsi" w:hAnsiTheme="majorHAnsi" w:cstheme="majorHAnsi"/>
          <w:lang w:val="it-IT"/>
        </w:rPr>
        <w:t>, oltre un milione e 187 (</w:t>
      </w:r>
      <w:r w:rsidRPr="00D86A34">
        <w:rPr>
          <w:rFonts w:asciiTheme="majorHAnsi" w:hAnsiTheme="majorHAnsi" w:cstheme="majorHAnsi"/>
          <w:bCs/>
          <w:lang w:val="it-IT"/>
        </w:rPr>
        <w:t>il 35,7%)</w:t>
      </w:r>
      <w:r w:rsidRPr="00D86A34">
        <w:rPr>
          <w:rFonts w:asciiTheme="majorHAnsi" w:hAnsiTheme="majorHAnsi" w:cstheme="majorHAnsi"/>
          <w:lang w:val="it-IT"/>
        </w:rPr>
        <w:t xml:space="preserve"> sono part time. Questo dato presenta</w:t>
      </w:r>
      <w:r w:rsidR="00FA24E6" w:rsidRPr="00D86A34">
        <w:rPr>
          <w:rFonts w:asciiTheme="majorHAnsi" w:hAnsiTheme="majorHAnsi" w:cstheme="majorHAnsi"/>
          <w:lang w:val="it-IT"/>
        </w:rPr>
        <w:t xml:space="preserve"> </w:t>
      </w:r>
      <w:r w:rsidRPr="00D86A34">
        <w:rPr>
          <w:rFonts w:asciiTheme="majorHAnsi" w:hAnsiTheme="majorHAnsi" w:cstheme="majorHAnsi"/>
          <w:lang w:val="it-IT"/>
        </w:rPr>
        <w:t>rilevanti differenze di genere</w:t>
      </w:r>
      <w:r w:rsidR="00FA24E6" w:rsidRPr="00D86A34">
        <w:rPr>
          <w:rFonts w:asciiTheme="majorHAnsi" w:hAnsiTheme="majorHAnsi" w:cstheme="majorHAnsi"/>
          <w:lang w:val="it-IT"/>
        </w:rPr>
        <w:t>:</w:t>
      </w:r>
      <w:r w:rsidRPr="00D86A34">
        <w:rPr>
          <w:rFonts w:asciiTheme="majorHAnsi" w:hAnsiTheme="majorHAnsi" w:cstheme="majorHAnsi"/>
          <w:lang w:val="it-IT"/>
        </w:rPr>
        <w:t xml:space="preserve"> quasi la metà (il 49,6%) delle nuove assunzioni di donne è a tempo parziale, contro il 26,6% degli uomini</w:t>
      </w:r>
      <w:r w:rsidR="00FA24E6" w:rsidRPr="00D86A34">
        <w:rPr>
          <w:rFonts w:asciiTheme="majorHAnsi" w:hAnsiTheme="majorHAnsi" w:cstheme="majorHAnsi"/>
          <w:lang w:val="it-IT"/>
        </w:rPr>
        <w:t xml:space="preserve">. </w:t>
      </w:r>
      <w:r w:rsidR="00F25526" w:rsidRPr="00D86A34">
        <w:rPr>
          <w:rFonts w:asciiTheme="majorHAnsi" w:hAnsiTheme="majorHAnsi" w:cstheme="majorHAnsi"/>
          <w:lang w:val="it-IT"/>
        </w:rPr>
        <w:t>E</w:t>
      </w:r>
      <w:r w:rsidR="00167A82" w:rsidRPr="00D86A34">
        <w:rPr>
          <w:rFonts w:asciiTheme="majorHAnsi" w:hAnsiTheme="majorHAnsi" w:cstheme="majorHAnsi"/>
          <w:lang w:val="it-IT"/>
        </w:rPr>
        <w:t xml:space="preserve"> </w:t>
      </w:r>
      <w:r w:rsidR="00750D50" w:rsidRPr="00D86A34">
        <w:rPr>
          <w:rFonts w:asciiTheme="majorHAnsi" w:hAnsiTheme="majorHAnsi" w:cstheme="majorHAnsi"/>
          <w:lang w:val="it-IT"/>
        </w:rPr>
        <w:t>Il 42% dei nuovi contratti di donne associa al regime orario a tempo parziale anche una forma contrattuale a termine o discontinua</w:t>
      </w:r>
      <w:r w:rsidR="00B563AD" w:rsidRPr="00D86A34">
        <w:rPr>
          <w:rFonts w:asciiTheme="majorHAnsi" w:hAnsiTheme="majorHAnsi" w:cstheme="majorHAnsi"/>
          <w:lang w:val="it-IT"/>
        </w:rPr>
        <w:t xml:space="preserve"> - </w:t>
      </w:r>
      <w:r w:rsidR="00750D50" w:rsidRPr="00D86A34">
        <w:rPr>
          <w:rFonts w:asciiTheme="majorHAnsi" w:hAnsiTheme="majorHAnsi" w:cstheme="majorHAnsi"/>
          <w:lang w:val="it-IT"/>
        </w:rPr>
        <w:t xml:space="preserve">debolezza </w:t>
      </w:r>
      <w:r w:rsidR="002315E5" w:rsidRPr="00D86A34">
        <w:rPr>
          <w:rFonts w:asciiTheme="majorHAnsi" w:hAnsiTheme="majorHAnsi" w:cstheme="majorHAnsi"/>
          <w:lang w:val="it-IT"/>
        </w:rPr>
        <w:t xml:space="preserve">che </w:t>
      </w:r>
      <w:r w:rsidR="00750D50" w:rsidRPr="00D86A34">
        <w:rPr>
          <w:rFonts w:asciiTheme="majorHAnsi" w:hAnsiTheme="majorHAnsi" w:cstheme="majorHAnsi"/>
          <w:lang w:val="it-IT"/>
        </w:rPr>
        <w:t xml:space="preserve">riguarda solo il 22% della nuova occupazione maschile. </w:t>
      </w:r>
      <w:r w:rsidR="00DF0C60" w:rsidRPr="00D86A34">
        <w:rPr>
          <w:rFonts w:asciiTheme="majorHAnsi" w:hAnsiTheme="majorHAnsi" w:cstheme="majorHAnsi"/>
          <w:lang w:val="it-IT"/>
        </w:rPr>
        <w:t xml:space="preserve">L’essere under 30 e </w:t>
      </w:r>
      <w:r w:rsidR="00E37984" w:rsidRPr="00D86A34">
        <w:rPr>
          <w:rFonts w:asciiTheme="majorHAnsi" w:hAnsiTheme="majorHAnsi" w:cstheme="majorHAnsi"/>
          <w:lang w:val="it-IT"/>
        </w:rPr>
        <w:t>vivere al Sud continua a rappresentare una condizione di svantaggio ulteriore”.</w:t>
      </w:r>
    </w:p>
    <w:p w14:paraId="538096B2" w14:textId="712FD8CA" w:rsidR="004B3708" w:rsidRPr="00D86A34" w:rsidRDefault="00FA24E6" w:rsidP="004B3708">
      <w:pPr>
        <w:jc w:val="both"/>
        <w:rPr>
          <w:rFonts w:asciiTheme="majorHAnsi" w:hAnsiTheme="majorHAnsi" w:cstheme="majorHAnsi"/>
          <w:lang w:val="it-IT"/>
        </w:rPr>
      </w:pPr>
      <w:r w:rsidRPr="00D86A34">
        <w:rPr>
          <w:rFonts w:asciiTheme="majorHAnsi" w:hAnsiTheme="majorHAnsi" w:cstheme="majorHAnsi"/>
          <w:lang w:val="it-IT"/>
        </w:rPr>
        <w:t>È quanto emerge dal</w:t>
      </w:r>
      <w:r w:rsidR="008C58CC">
        <w:rPr>
          <w:rFonts w:asciiTheme="majorHAnsi" w:hAnsiTheme="majorHAnsi" w:cstheme="majorHAnsi"/>
          <w:lang w:val="it-IT"/>
        </w:rPr>
        <w:t>l’anticipazione del</w:t>
      </w:r>
      <w:r w:rsidRPr="00D86A34">
        <w:rPr>
          <w:rFonts w:asciiTheme="majorHAnsi" w:hAnsiTheme="majorHAnsi" w:cstheme="majorHAnsi"/>
          <w:lang w:val="it-IT"/>
        </w:rPr>
        <w:t xml:space="preserve"> policy brief “Una ripresa.</w:t>
      </w:r>
      <w:r w:rsidR="00AF0316">
        <w:rPr>
          <w:rFonts w:asciiTheme="majorHAnsi" w:hAnsiTheme="majorHAnsi" w:cstheme="majorHAnsi"/>
          <w:lang w:val="it-IT"/>
        </w:rPr>
        <w:t>.</w:t>
      </w:r>
      <w:r w:rsidRPr="00D86A34">
        <w:rPr>
          <w:rFonts w:asciiTheme="majorHAnsi" w:hAnsiTheme="majorHAnsi" w:cstheme="majorHAnsi"/>
          <w:lang w:val="it-IT"/>
        </w:rPr>
        <w:t>.</w:t>
      </w:r>
      <w:r w:rsidR="00AF0316">
        <w:rPr>
          <w:rFonts w:asciiTheme="majorHAnsi" w:hAnsiTheme="majorHAnsi" w:cstheme="majorHAnsi"/>
          <w:lang w:val="it-IT"/>
        </w:rPr>
        <w:t xml:space="preserve"> </w:t>
      </w:r>
      <w:r w:rsidRPr="00D86A34">
        <w:rPr>
          <w:rFonts w:asciiTheme="majorHAnsi" w:hAnsiTheme="majorHAnsi" w:cstheme="majorHAnsi"/>
          <w:lang w:val="it-IT"/>
        </w:rPr>
        <w:t>a tempo parziale” dell’I</w:t>
      </w:r>
      <w:r w:rsidR="00DF49C7" w:rsidRPr="00D86A34">
        <w:rPr>
          <w:rFonts w:asciiTheme="majorHAnsi" w:hAnsiTheme="majorHAnsi" w:cstheme="majorHAnsi"/>
          <w:lang w:val="it-IT"/>
        </w:rPr>
        <w:t>stituto Nazionale per le analisi delle politiche pubbliche (INAPP)</w:t>
      </w:r>
      <w:r w:rsidRPr="00D86A34">
        <w:rPr>
          <w:rFonts w:asciiTheme="majorHAnsi" w:hAnsiTheme="majorHAnsi" w:cstheme="majorHAnsi"/>
          <w:lang w:val="it-IT"/>
        </w:rPr>
        <w:t xml:space="preserve"> che fotografa </w:t>
      </w:r>
      <w:r w:rsidR="002315E5" w:rsidRPr="00D86A34">
        <w:rPr>
          <w:rFonts w:asciiTheme="majorHAnsi" w:hAnsiTheme="majorHAnsi" w:cstheme="majorHAnsi"/>
          <w:lang w:val="it-IT"/>
        </w:rPr>
        <w:t>la</w:t>
      </w:r>
      <w:r w:rsidRPr="00D86A34">
        <w:rPr>
          <w:rFonts w:asciiTheme="majorHAnsi" w:hAnsiTheme="majorHAnsi" w:cstheme="majorHAnsi"/>
          <w:lang w:val="it-IT"/>
        </w:rPr>
        <w:t xml:space="preserve"> ripresa occupazionale</w:t>
      </w:r>
      <w:r w:rsidR="002315E5" w:rsidRPr="00D86A34">
        <w:rPr>
          <w:rFonts w:asciiTheme="majorHAnsi" w:hAnsiTheme="majorHAnsi" w:cstheme="majorHAnsi"/>
          <w:lang w:val="it-IT"/>
        </w:rPr>
        <w:t>,</w:t>
      </w:r>
      <w:r w:rsidRPr="00D86A34">
        <w:rPr>
          <w:rFonts w:asciiTheme="majorHAnsi" w:hAnsiTheme="majorHAnsi" w:cstheme="majorHAnsi"/>
          <w:lang w:val="it-IT"/>
        </w:rPr>
        <w:t xml:space="preserve"> attraverso i dati sui nuovi contratti attivati nel primo semestre</w:t>
      </w:r>
      <w:r w:rsidR="008C58CC">
        <w:rPr>
          <w:rFonts w:asciiTheme="majorHAnsi" w:hAnsiTheme="majorHAnsi" w:cstheme="majorHAnsi"/>
          <w:lang w:val="it-IT"/>
        </w:rPr>
        <w:t xml:space="preserve"> e che a breve sarà disponibile sul sito dell’Istituto (www.inapp.org)</w:t>
      </w:r>
      <w:r w:rsidRPr="00D86A34">
        <w:rPr>
          <w:rFonts w:asciiTheme="majorHAnsi" w:hAnsiTheme="majorHAnsi" w:cstheme="majorHAnsi"/>
          <w:lang w:val="it-IT"/>
        </w:rPr>
        <w:t>.</w:t>
      </w:r>
    </w:p>
    <w:p w14:paraId="7B92CD9D" w14:textId="0D297FF1" w:rsidR="00265280" w:rsidRPr="00AF0316" w:rsidRDefault="00265280" w:rsidP="004B3708">
      <w:pPr>
        <w:jc w:val="both"/>
        <w:rPr>
          <w:rFonts w:asciiTheme="majorHAnsi" w:hAnsiTheme="majorHAnsi" w:cstheme="majorHAnsi"/>
          <w:bCs/>
          <w:i/>
          <w:lang w:val="it-IT"/>
        </w:rPr>
      </w:pPr>
      <w:r w:rsidRPr="00D86A34">
        <w:rPr>
          <w:rFonts w:asciiTheme="majorHAnsi" w:hAnsiTheme="majorHAnsi" w:cstheme="majorHAnsi"/>
          <w:bCs/>
          <w:iCs/>
          <w:lang w:val="it-IT"/>
        </w:rPr>
        <w:t xml:space="preserve">“La lettura di questi dati ci dice che la ripresa dell’occupazione in Italia rischia di non essere strutturale perché sta puntando troppo sulla riduzione dei costi tramite la riduzione delle ore lavorate – ha spiegato il prof. </w:t>
      </w:r>
      <w:r w:rsidRPr="00D86A34">
        <w:rPr>
          <w:rFonts w:asciiTheme="majorHAnsi" w:hAnsiTheme="majorHAnsi" w:cstheme="majorHAnsi"/>
          <w:b/>
          <w:bCs/>
          <w:iCs/>
          <w:lang w:val="it-IT"/>
        </w:rPr>
        <w:t>Sebastiano Fadda, presidente di INAPP</w:t>
      </w:r>
      <w:r w:rsidRPr="00D86A34">
        <w:rPr>
          <w:rFonts w:asciiTheme="majorHAnsi" w:hAnsiTheme="majorHAnsi" w:cstheme="majorHAnsi"/>
          <w:bCs/>
          <w:iCs/>
          <w:lang w:val="it-IT"/>
        </w:rPr>
        <w:t xml:space="preserve"> - La “prudenza delle imprese” rischia di incrementare la fascia di lavoratori poveri e il gap di partecipazione e reddito esistente tra uomini e donne</w:t>
      </w:r>
      <w:r w:rsidRPr="00AF0316">
        <w:rPr>
          <w:rFonts w:asciiTheme="majorHAnsi" w:hAnsiTheme="majorHAnsi" w:cstheme="majorHAnsi"/>
          <w:bCs/>
          <w:iCs/>
          <w:lang w:val="it-IT"/>
        </w:rPr>
        <w:t>. I</w:t>
      </w:r>
      <w:r w:rsidRPr="00AF0316">
        <w:rPr>
          <w:rFonts w:asciiTheme="majorHAnsi" w:hAnsiTheme="majorHAnsi" w:cstheme="majorHAnsi"/>
          <w:color w:val="000000"/>
          <w:shd w:val="clear" w:color="auto" w:fill="FFFFFF"/>
          <w:lang w:val="it-IT"/>
        </w:rPr>
        <w:t>l traino del </w:t>
      </w:r>
      <w:r w:rsidRPr="00AF0316">
        <w:rPr>
          <w:rStyle w:val="Enfasigrassetto"/>
          <w:rFonts w:asciiTheme="majorHAnsi" w:hAnsiTheme="majorHAnsi" w:cstheme="majorHAnsi"/>
          <w:b w:val="0"/>
          <w:bCs w:val="0"/>
          <w:color w:val="000000"/>
          <w:bdr w:val="none" w:sz="0" w:space="0" w:color="auto" w:frame="1"/>
          <w:shd w:val="clear" w:color="auto" w:fill="FFFFFF"/>
          <w:lang w:val="it-IT"/>
        </w:rPr>
        <w:t>Piano di ripresa e resilienza</w:t>
      </w:r>
      <w:r w:rsidRPr="00AF0316">
        <w:rPr>
          <w:rFonts w:asciiTheme="majorHAnsi" w:hAnsiTheme="majorHAnsi" w:cstheme="majorHAnsi"/>
          <w:color w:val="000000"/>
          <w:shd w:val="clear" w:color="auto" w:fill="FFFFFF"/>
          <w:lang w:val="it-IT"/>
        </w:rPr>
        <w:t xml:space="preserve"> dovrebbe essere invece l’occasione per spingere sulla creazione di lavoro stabile</w:t>
      </w:r>
      <w:r w:rsidR="00211D85" w:rsidRPr="00AF0316">
        <w:rPr>
          <w:rFonts w:asciiTheme="majorHAnsi" w:hAnsiTheme="majorHAnsi" w:cstheme="majorHAnsi"/>
          <w:color w:val="000000"/>
          <w:shd w:val="clear" w:color="auto" w:fill="FFFFFF"/>
          <w:lang w:val="it-IT"/>
        </w:rPr>
        <w:t>,</w:t>
      </w:r>
      <w:r w:rsidRPr="00AF0316">
        <w:rPr>
          <w:rFonts w:asciiTheme="majorHAnsi" w:hAnsiTheme="majorHAnsi" w:cstheme="majorHAnsi"/>
          <w:color w:val="000000"/>
          <w:shd w:val="clear" w:color="auto" w:fill="FFFFFF"/>
          <w:lang w:val="it-IT"/>
        </w:rPr>
        <w:t xml:space="preserve"> perché senza la prospettiva di una graduale stabilizzazione dei rapporti di lavoro si rischia di avere effetti negativi sulla produttività e sulla </w:t>
      </w:r>
      <w:r w:rsidR="00211D85" w:rsidRPr="00AF0316">
        <w:rPr>
          <w:rFonts w:asciiTheme="majorHAnsi" w:hAnsiTheme="majorHAnsi" w:cstheme="majorHAnsi"/>
          <w:color w:val="000000"/>
          <w:shd w:val="clear" w:color="auto" w:fill="FFFFFF"/>
          <w:lang w:val="it-IT"/>
        </w:rPr>
        <w:t>competitività</w:t>
      </w:r>
      <w:r w:rsidRPr="00AF0316">
        <w:rPr>
          <w:rFonts w:asciiTheme="majorHAnsi" w:hAnsiTheme="majorHAnsi" w:cstheme="majorHAnsi"/>
          <w:color w:val="000000"/>
          <w:shd w:val="clear" w:color="auto" w:fill="FFFFFF"/>
          <w:lang w:val="it-IT"/>
        </w:rPr>
        <w:t>”.</w:t>
      </w:r>
    </w:p>
    <w:p w14:paraId="0FDAE576" w14:textId="7A399771" w:rsidR="002D40F2" w:rsidRPr="00AF0316" w:rsidRDefault="00265280" w:rsidP="000801D7">
      <w:pPr>
        <w:jc w:val="both"/>
        <w:rPr>
          <w:rFonts w:asciiTheme="majorHAnsi" w:hAnsiTheme="majorHAnsi" w:cstheme="majorHAnsi"/>
          <w:bCs/>
          <w:iCs/>
          <w:lang w:val="it-IT"/>
        </w:rPr>
      </w:pPr>
      <w:r w:rsidRPr="00D86A34">
        <w:rPr>
          <w:rFonts w:asciiTheme="majorHAnsi" w:hAnsiTheme="majorHAnsi" w:cstheme="majorHAnsi"/>
          <w:iCs/>
          <w:lang w:val="it-IT"/>
        </w:rPr>
        <w:t>Nello specifico, “l</w:t>
      </w:r>
      <w:r w:rsidR="00FA24E6" w:rsidRPr="00D86A34">
        <w:rPr>
          <w:rFonts w:asciiTheme="majorHAnsi" w:hAnsiTheme="majorHAnsi" w:cstheme="majorHAnsi"/>
          <w:iCs/>
          <w:lang w:val="it-IT"/>
        </w:rPr>
        <w:t>a componente femminile rappresenta complessivamente il 39,6% del totale delle attivazioni, confermando il consolidato gap di genere nell’occup</w:t>
      </w:r>
      <w:r w:rsidRPr="00D86A34">
        <w:rPr>
          <w:rFonts w:asciiTheme="majorHAnsi" w:hAnsiTheme="majorHAnsi" w:cstheme="majorHAnsi"/>
          <w:iCs/>
          <w:lang w:val="it-IT"/>
        </w:rPr>
        <w:t>azione – si legge nello studio -</w:t>
      </w:r>
      <w:r w:rsidR="00FA24E6" w:rsidRPr="00D86A34">
        <w:rPr>
          <w:rFonts w:asciiTheme="majorHAnsi" w:hAnsiTheme="majorHAnsi" w:cstheme="majorHAnsi"/>
          <w:iCs/>
          <w:lang w:val="it-IT"/>
        </w:rPr>
        <w:t xml:space="preserve"> Si assiste, quindi, ad un numero di nuove attivazioni per le donne inferiore a quello degli uomini in valore assoluto, ma con un’incidenza del part time molto più consistente”. </w:t>
      </w:r>
      <w:r w:rsidR="00731E0F" w:rsidRPr="00D86A34">
        <w:rPr>
          <w:rFonts w:asciiTheme="majorHAnsi" w:hAnsiTheme="majorHAnsi" w:cstheme="majorHAnsi"/>
          <w:iCs/>
          <w:lang w:val="it-IT"/>
        </w:rPr>
        <w:t>“</w:t>
      </w:r>
      <w:r w:rsidR="009656DE" w:rsidRPr="00D86A34">
        <w:rPr>
          <w:rFonts w:asciiTheme="majorHAnsi" w:hAnsiTheme="majorHAnsi" w:cstheme="majorHAnsi"/>
          <w:iCs/>
          <w:lang w:val="it-IT"/>
        </w:rPr>
        <w:t>Q</w:t>
      </w:r>
      <w:r w:rsidR="00B37A26" w:rsidRPr="00D86A34">
        <w:rPr>
          <w:rFonts w:asciiTheme="majorHAnsi" w:hAnsiTheme="majorHAnsi" w:cstheme="majorHAnsi"/>
          <w:iCs/>
          <w:lang w:val="it-IT"/>
        </w:rPr>
        <w:t xml:space="preserve">uesta situazione </w:t>
      </w:r>
      <w:r w:rsidR="00FE0146" w:rsidRPr="00D86A34">
        <w:rPr>
          <w:rFonts w:asciiTheme="majorHAnsi" w:hAnsiTheme="majorHAnsi" w:cstheme="majorHAnsi"/>
          <w:bCs/>
          <w:iCs/>
          <w:lang w:val="it-IT"/>
        </w:rPr>
        <w:t xml:space="preserve">si registra in tutte </w:t>
      </w:r>
      <w:r w:rsidR="00FE0146" w:rsidRPr="00D86A34">
        <w:rPr>
          <w:rFonts w:asciiTheme="majorHAnsi" w:hAnsiTheme="majorHAnsi" w:cstheme="majorHAnsi"/>
          <w:iCs/>
          <w:lang w:val="it-IT"/>
        </w:rPr>
        <w:t>le tipologie contrattuali</w:t>
      </w:r>
      <w:r w:rsidR="00426C8D" w:rsidRPr="00D86A34">
        <w:rPr>
          <w:rFonts w:asciiTheme="majorHAnsi" w:hAnsiTheme="majorHAnsi" w:cstheme="majorHAnsi"/>
          <w:bCs/>
          <w:iCs/>
          <w:lang w:val="it-IT"/>
        </w:rPr>
        <w:t>.</w:t>
      </w:r>
      <w:r w:rsidR="00DA384A" w:rsidRPr="00D86A34">
        <w:rPr>
          <w:rFonts w:asciiTheme="majorHAnsi" w:hAnsiTheme="majorHAnsi" w:cstheme="majorHAnsi"/>
          <w:bCs/>
          <w:iCs/>
          <w:lang w:val="it-IT"/>
        </w:rPr>
        <w:t xml:space="preserve"> Sul totale deli nuovi contratti a donne</w:t>
      </w:r>
      <w:r w:rsidR="00BC6871" w:rsidRPr="00D86A34">
        <w:rPr>
          <w:rFonts w:asciiTheme="majorHAnsi" w:hAnsiTheme="majorHAnsi" w:cstheme="majorHAnsi"/>
          <w:bCs/>
          <w:iCs/>
          <w:lang w:val="it-IT"/>
        </w:rPr>
        <w:t>,</w:t>
      </w:r>
      <w:r w:rsidR="00DA384A" w:rsidRPr="00D86A34">
        <w:rPr>
          <w:rFonts w:asciiTheme="majorHAnsi" w:hAnsiTheme="majorHAnsi" w:cstheme="majorHAnsi"/>
          <w:bCs/>
          <w:iCs/>
          <w:lang w:val="it-IT"/>
        </w:rPr>
        <w:t xml:space="preserve"> </w:t>
      </w:r>
      <w:r w:rsidR="00FE0146" w:rsidRPr="00D86A34">
        <w:rPr>
          <w:rFonts w:asciiTheme="majorHAnsi" w:hAnsiTheme="majorHAnsi" w:cstheme="majorHAnsi"/>
          <w:bCs/>
          <w:iCs/>
          <w:lang w:val="it-IT"/>
        </w:rPr>
        <w:t>sono a part time: il 54,5% nel tempo indeterminato</w:t>
      </w:r>
      <w:r w:rsidR="000801D7" w:rsidRPr="00D86A34">
        <w:rPr>
          <w:rFonts w:asciiTheme="majorHAnsi" w:hAnsiTheme="majorHAnsi" w:cstheme="majorHAnsi"/>
          <w:bCs/>
          <w:iCs/>
          <w:lang w:val="it-IT"/>
        </w:rPr>
        <w:t xml:space="preserve">, </w:t>
      </w:r>
      <w:r w:rsidR="00FE0146" w:rsidRPr="00D86A34">
        <w:rPr>
          <w:rFonts w:asciiTheme="majorHAnsi" w:hAnsiTheme="majorHAnsi" w:cstheme="majorHAnsi"/>
          <w:bCs/>
          <w:iCs/>
          <w:lang w:val="it"/>
        </w:rPr>
        <w:t xml:space="preserve">il </w:t>
      </w:r>
      <w:r w:rsidR="00FE0146" w:rsidRPr="00D86A34">
        <w:rPr>
          <w:rFonts w:asciiTheme="majorHAnsi" w:hAnsiTheme="majorHAnsi" w:cstheme="majorHAnsi"/>
          <w:bCs/>
          <w:iCs/>
          <w:lang w:val="it-IT"/>
        </w:rPr>
        <w:t>63,7</w:t>
      </w:r>
      <w:r w:rsidR="00FE0146" w:rsidRPr="00D86A34">
        <w:rPr>
          <w:rFonts w:asciiTheme="majorHAnsi" w:hAnsiTheme="majorHAnsi" w:cstheme="majorHAnsi"/>
          <w:bCs/>
          <w:iCs/>
          <w:lang w:val="it"/>
        </w:rPr>
        <w:t>% nel tempo determinato</w:t>
      </w:r>
      <w:r w:rsidR="000801D7" w:rsidRPr="00D86A34">
        <w:rPr>
          <w:rFonts w:asciiTheme="majorHAnsi" w:eastAsia="Times New Roman" w:hAnsiTheme="majorHAnsi" w:cstheme="majorHAnsi"/>
          <w:bCs/>
          <w:iCs/>
          <w:color w:val="000000"/>
          <w:lang w:val="it-IT" w:eastAsia="it-IT"/>
        </w:rPr>
        <w:t xml:space="preserve">, </w:t>
      </w:r>
      <w:r w:rsidR="00FE0146" w:rsidRPr="00D86A34">
        <w:rPr>
          <w:rFonts w:asciiTheme="majorHAnsi" w:hAnsiTheme="majorHAnsi" w:cstheme="majorHAnsi"/>
          <w:bCs/>
          <w:iCs/>
          <w:lang w:val="it-IT"/>
        </w:rPr>
        <w:t>il 44,5% in apprendistato</w:t>
      </w:r>
      <w:r w:rsidR="000801D7" w:rsidRPr="00D86A34">
        <w:rPr>
          <w:rFonts w:asciiTheme="majorHAnsi" w:hAnsiTheme="majorHAnsi" w:cstheme="majorHAnsi"/>
          <w:bCs/>
          <w:iCs/>
          <w:lang w:val="it-IT"/>
        </w:rPr>
        <w:t xml:space="preserve">, </w:t>
      </w:r>
      <w:r w:rsidR="00FE0146" w:rsidRPr="00D86A34">
        <w:rPr>
          <w:rFonts w:asciiTheme="majorHAnsi" w:hAnsiTheme="majorHAnsi" w:cstheme="majorHAnsi"/>
          <w:bCs/>
          <w:iCs/>
          <w:lang w:val="it"/>
        </w:rPr>
        <w:t xml:space="preserve">il </w:t>
      </w:r>
      <w:r w:rsidR="00FE0146" w:rsidRPr="00D86A34">
        <w:rPr>
          <w:rFonts w:asciiTheme="majorHAnsi" w:hAnsiTheme="majorHAnsi" w:cstheme="majorHAnsi"/>
          <w:bCs/>
          <w:iCs/>
          <w:lang w:val="it-IT"/>
        </w:rPr>
        <w:t xml:space="preserve">45,9 </w:t>
      </w:r>
      <w:r w:rsidR="00FE0146" w:rsidRPr="00D86A34">
        <w:rPr>
          <w:rFonts w:asciiTheme="majorHAnsi" w:hAnsiTheme="majorHAnsi" w:cstheme="majorHAnsi"/>
          <w:bCs/>
          <w:iCs/>
          <w:lang w:val="it"/>
        </w:rPr>
        <w:t>% in lavoro stagionale</w:t>
      </w:r>
      <w:r w:rsidR="000801D7" w:rsidRPr="00D86A34">
        <w:rPr>
          <w:rFonts w:asciiTheme="majorHAnsi" w:hAnsiTheme="majorHAnsi" w:cstheme="majorHAnsi"/>
          <w:bCs/>
          <w:iCs/>
          <w:lang w:val="it"/>
        </w:rPr>
        <w:t xml:space="preserve"> e </w:t>
      </w:r>
      <w:r w:rsidR="00FE0146" w:rsidRPr="00D86A34">
        <w:rPr>
          <w:rFonts w:asciiTheme="majorHAnsi" w:hAnsiTheme="majorHAnsi" w:cstheme="majorHAnsi"/>
          <w:bCs/>
          <w:iCs/>
          <w:lang w:val="it-IT"/>
        </w:rPr>
        <w:t xml:space="preserve">il </w:t>
      </w:r>
      <w:r w:rsidR="00FE0146" w:rsidRPr="00D86A34">
        <w:rPr>
          <w:rFonts w:asciiTheme="majorHAnsi" w:eastAsia="Times New Roman" w:hAnsiTheme="majorHAnsi" w:cstheme="majorHAnsi"/>
          <w:bCs/>
          <w:iCs/>
          <w:color w:val="000000"/>
          <w:lang w:val="it-IT" w:eastAsia="it-IT"/>
        </w:rPr>
        <w:t xml:space="preserve">42,4% </w:t>
      </w:r>
      <w:r w:rsidR="00FE0146" w:rsidRPr="00D86A34">
        <w:rPr>
          <w:rFonts w:asciiTheme="majorHAnsi" w:hAnsiTheme="majorHAnsi" w:cstheme="majorHAnsi"/>
          <w:bCs/>
          <w:iCs/>
          <w:lang w:val="it-IT"/>
        </w:rPr>
        <w:t>% in somministrazione</w:t>
      </w:r>
      <w:r w:rsidR="00AF0316">
        <w:rPr>
          <w:rFonts w:asciiTheme="majorHAnsi" w:hAnsiTheme="majorHAnsi" w:cstheme="majorHAnsi"/>
          <w:bCs/>
          <w:iCs/>
          <w:lang w:val="it-IT"/>
        </w:rPr>
        <w:t xml:space="preserve"> (fig.1)</w:t>
      </w:r>
      <w:r w:rsidR="00C86982" w:rsidRPr="00D86A34">
        <w:rPr>
          <w:rFonts w:asciiTheme="majorHAnsi" w:hAnsiTheme="majorHAnsi" w:cstheme="majorHAnsi"/>
          <w:bCs/>
          <w:iCs/>
          <w:lang w:val="it-IT"/>
        </w:rPr>
        <w:t>.</w:t>
      </w:r>
      <w:r w:rsidR="00AF0316">
        <w:rPr>
          <w:rFonts w:asciiTheme="majorHAnsi" w:hAnsiTheme="majorHAnsi" w:cstheme="majorHAnsi"/>
          <w:bCs/>
          <w:iCs/>
          <w:lang w:val="it-IT"/>
        </w:rPr>
        <w:t xml:space="preserve"> </w:t>
      </w:r>
    </w:p>
    <w:p w14:paraId="04C5854E" w14:textId="4B409A07" w:rsidR="00B2304F" w:rsidRDefault="00B2304F" w:rsidP="00AF0316">
      <w:pPr>
        <w:rPr>
          <w:bCs/>
          <w:iCs/>
          <w:lang w:val="it-IT"/>
        </w:rPr>
      </w:pPr>
      <w:r>
        <w:rPr>
          <w:noProof/>
          <w:lang w:val="it-IT" w:eastAsia="it-IT"/>
        </w:rPr>
        <w:lastRenderedPageBreak/>
        <w:drawing>
          <wp:inline distT="0" distB="0" distL="0" distR="0" wp14:anchorId="60A40E5A" wp14:editId="10709C90">
            <wp:extent cx="5422900" cy="2425700"/>
            <wp:effectExtent l="0" t="0" r="6350" b="0"/>
            <wp:docPr id="12" name="Grafico 12">
              <a:extLst xmlns:a="http://schemas.openxmlformats.org/drawingml/2006/main">
                <a:ext uri="{FF2B5EF4-FFF2-40B4-BE49-F238E27FC236}">
                  <a16:creationId xmlns:a16="http://schemas.microsoft.com/office/drawing/2014/main" id="{809BB97B-9F47-48A7-8621-E53562AE1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71D0DE" w14:textId="77777777" w:rsidR="00F24BD6" w:rsidRPr="007559C5" w:rsidRDefault="00F24BD6" w:rsidP="00F24BD6">
      <w:pPr>
        <w:rPr>
          <w:i/>
          <w:sz w:val="16"/>
          <w:szCs w:val="16"/>
          <w:lang w:val="it-IT"/>
        </w:rPr>
      </w:pPr>
      <w:r w:rsidRPr="007559C5">
        <w:rPr>
          <w:i/>
          <w:sz w:val="16"/>
          <w:szCs w:val="16"/>
          <w:lang w:val="it-IT"/>
        </w:rPr>
        <w:t>Elab. Inapp su dati Inps Osservatorio sul precariato 2021</w:t>
      </w:r>
    </w:p>
    <w:p w14:paraId="7B7E4B01" w14:textId="3EFDBEFE" w:rsidR="009254A2" w:rsidRPr="00D86A34" w:rsidRDefault="00265280" w:rsidP="00D86A34">
      <w:pPr>
        <w:jc w:val="both"/>
        <w:rPr>
          <w:lang w:val="it-IT"/>
        </w:rPr>
      </w:pPr>
      <w:r>
        <w:rPr>
          <w:bCs/>
          <w:lang w:val="it-IT"/>
        </w:rPr>
        <w:t xml:space="preserve">Per quanto riguarda </w:t>
      </w:r>
      <w:r w:rsidR="00D04A43" w:rsidRPr="003E7661">
        <w:rPr>
          <w:b/>
          <w:lang w:val="it-IT"/>
        </w:rPr>
        <w:t>i settori economici</w:t>
      </w:r>
      <w:r w:rsidR="00E21C75">
        <w:rPr>
          <w:b/>
          <w:lang w:val="it-IT"/>
        </w:rPr>
        <w:t>,</w:t>
      </w:r>
      <w:r w:rsidR="00D04A43">
        <w:rPr>
          <w:bCs/>
          <w:lang w:val="it-IT"/>
        </w:rPr>
        <w:t xml:space="preserve"> </w:t>
      </w:r>
      <w:r w:rsidR="00D04A43">
        <w:rPr>
          <w:lang w:val="it-IT"/>
        </w:rPr>
        <w:t>l</w:t>
      </w:r>
      <w:r w:rsidR="00D04A43" w:rsidRPr="008434F0">
        <w:rPr>
          <w:lang w:val="it-IT"/>
        </w:rPr>
        <w:t>e nuove assunzioni di donne sono in valore assoluto inferiori a quelle degli uomini</w:t>
      </w:r>
      <w:r w:rsidR="00D04A43">
        <w:rPr>
          <w:lang w:val="it-IT"/>
        </w:rPr>
        <w:t xml:space="preserve"> </w:t>
      </w:r>
      <w:r w:rsidR="00D04A43" w:rsidRPr="008434F0">
        <w:rPr>
          <w:lang w:val="it-IT"/>
        </w:rPr>
        <w:t>ad eccezione del settore finanziario-assicurativo, immobiliare e di amministrazione pubblica comprese le organizzazioni extraterritoriali. In tutti i casi</w:t>
      </w:r>
      <w:r w:rsidR="00D04A43">
        <w:rPr>
          <w:lang w:val="it-IT"/>
        </w:rPr>
        <w:t xml:space="preserve">, comunque, </w:t>
      </w:r>
      <w:r w:rsidR="00D04A43" w:rsidRPr="008434F0">
        <w:rPr>
          <w:lang w:val="it-IT"/>
        </w:rPr>
        <w:t>la quota di part time femminile è sempre maggiore di quella maschile</w:t>
      </w:r>
      <w:r w:rsidR="00D86A34">
        <w:rPr>
          <w:lang w:val="it-IT"/>
        </w:rPr>
        <w:t>.</w:t>
      </w:r>
      <w:r w:rsidR="00D04A43" w:rsidRPr="008434F0">
        <w:rPr>
          <w:lang w:val="it-IT"/>
        </w:rPr>
        <w:t xml:space="preserve"> Inoltre, nel caso dell’agricoltura, commercio, attività immobiliari, professionali, artistiche e amministrazione pubblica istruzione, sanità e assistenza, i contratti part time costituiscono la forma di lavoro prevalente per le donne, superando l’incidenza del 50% sul totale.</w:t>
      </w:r>
    </w:p>
    <w:p w14:paraId="1B55C8CC" w14:textId="1553F6A9" w:rsidR="003E7661" w:rsidRDefault="003E7661" w:rsidP="003E7661">
      <w:pPr>
        <w:jc w:val="both"/>
        <w:rPr>
          <w:bCs/>
          <w:lang w:val="it-IT"/>
        </w:rPr>
      </w:pPr>
      <w:r>
        <w:rPr>
          <w:lang w:val="it-IT"/>
        </w:rPr>
        <w:t xml:space="preserve">A livello </w:t>
      </w:r>
      <w:r w:rsidRPr="008445FB">
        <w:rPr>
          <w:b/>
          <w:bCs/>
          <w:lang w:val="it-IT"/>
        </w:rPr>
        <w:t>territoriale</w:t>
      </w:r>
      <w:r w:rsidR="00E21C75">
        <w:rPr>
          <w:b/>
          <w:bCs/>
          <w:lang w:val="it-IT"/>
        </w:rPr>
        <w:t>,</w:t>
      </w:r>
      <w:r>
        <w:rPr>
          <w:lang w:val="it-IT"/>
        </w:rPr>
        <w:t xml:space="preserve"> </w:t>
      </w:r>
      <w:r>
        <w:rPr>
          <w:bCs/>
          <w:lang w:val="it-IT"/>
        </w:rPr>
        <w:t xml:space="preserve">nelle regioni del centro nord che hanno attivato le maggiori quote di contratti a donne, si riproduce il “fisiologico” squilibrio di genere del part time sinora evidenziato. Spicca invece nel Sud, in particolare con Sicilia Calabria Molise, il legame </w:t>
      </w:r>
      <w:r w:rsidR="00D37572">
        <w:rPr>
          <w:bCs/>
          <w:lang w:val="it-IT"/>
        </w:rPr>
        <w:t xml:space="preserve">il tra </w:t>
      </w:r>
      <w:r>
        <w:rPr>
          <w:bCs/>
          <w:lang w:val="it-IT"/>
        </w:rPr>
        <w:t>ridotto numero di contra</w:t>
      </w:r>
      <w:r w:rsidR="00E21C75">
        <w:rPr>
          <w:bCs/>
          <w:lang w:val="it-IT"/>
        </w:rPr>
        <w:t>t</w:t>
      </w:r>
      <w:r>
        <w:rPr>
          <w:bCs/>
          <w:lang w:val="it-IT"/>
        </w:rPr>
        <w:t>ti attivati e una percentuale di par time intorno al 70%, indice di una profonda instabilità di prospettiva della ripresa.</w:t>
      </w:r>
    </w:p>
    <w:p w14:paraId="11A2719D" w14:textId="54181F88" w:rsidR="002212EA" w:rsidRDefault="002212EA" w:rsidP="00415CAD">
      <w:pPr>
        <w:jc w:val="both"/>
        <w:rPr>
          <w:bCs/>
          <w:lang w:val="it-IT"/>
        </w:rPr>
      </w:pPr>
      <w:r>
        <w:rPr>
          <w:noProof/>
          <w:lang w:val="it-IT" w:eastAsia="it-IT"/>
        </w:rPr>
        <w:drawing>
          <wp:inline distT="0" distB="0" distL="0" distR="0" wp14:anchorId="6C254689" wp14:editId="1057A7A8">
            <wp:extent cx="6191250" cy="3697605"/>
            <wp:effectExtent l="0" t="0" r="0" b="0"/>
            <wp:docPr id="8" name="Grafico 8">
              <a:extLst xmlns:a="http://schemas.openxmlformats.org/drawingml/2006/main">
                <a:ext uri="{FF2B5EF4-FFF2-40B4-BE49-F238E27FC236}">
                  <a16:creationId xmlns:a16="http://schemas.microsoft.com/office/drawing/2014/main" id="{74D4E5F8-0095-4CA7-9085-6B809ECFA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B28913" w14:textId="77777777" w:rsidR="00147204" w:rsidRPr="007559C5" w:rsidRDefault="00147204" w:rsidP="00147204">
      <w:pPr>
        <w:rPr>
          <w:i/>
          <w:sz w:val="16"/>
          <w:szCs w:val="16"/>
          <w:lang w:val="it-IT"/>
        </w:rPr>
      </w:pPr>
      <w:r w:rsidRPr="007559C5">
        <w:rPr>
          <w:i/>
          <w:sz w:val="16"/>
          <w:szCs w:val="16"/>
          <w:lang w:val="it-IT"/>
        </w:rPr>
        <w:t>Elab. Inapp su dati Inps Osservatorio sul precariato 2021</w:t>
      </w:r>
    </w:p>
    <w:p w14:paraId="11B19931" w14:textId="23D27639" w:rsidR="000C2310" w:rsidRDefault="00D04E70" w:rsidP="0042451D">
      <w:pPr>
        <w:jc w:val="both"/>
        <w:rPr>
          <w:bCs/>
          <w:lang w:val="it-IT"/>
        </w:rPr>
      </w:pPr>
      <w:r>
        <w:rPr>
          <w:bCs/>
          <w:lang w:val="it-IT"/>
        </w:rPr>
        <w:lastRenderedPageBreak/>
        <w:t>Part time e preca</w:t>
      </w:r>
      <w:r w:rsidR="002542E3">
        <w:rPr>
          <w:bCs/>
          <w:lang w:val="it-IT"/>
        </w:rPr>
        <w:t xml:space="preserve">rietà non sono ridotte dalla presenza di un </w:t>
      </w:r>
      <w:r w:rsidR="002542E3" w:rsidRPr="00D37572">
        <w:rPr>
          <w:b/>
          <w:lang w:val="it-IT"/>
        </w:rPr>
        <w:t>incentivo alle assunzioni</w:t>
      </w:r>
      <w:r w:rsidR="002542E3">
        <w:rPr>
          <w:bCs/>
          <w:lang w:val="it-IT"/>
        </w:rPr>
        <w:t xml:space="preserve">. </w:t>
      </w:r>
      <w:r w:rsidR="001E2A4E">
        <w:rPr>
          <w:bCs/>
          <w:lang w:val="it-IT"/>
        </w:rPr>
        <w:t>Lo studio ev</w:t>
      </w:r>
      <w:r w:rsidR="00D86A34">
        <w:rPr>
          <w:bCs/>
          <w:lang w:val="it-IT"/>
        </w:rPr>
        <w:t>id</w:t>
      </w:r>
      <w:r w:rsidR="001E2A4E">
        <w:rPr>
          <w:bCs/>
          <w:lang w:val="it-IT"/>
        </w:rPr>
        <w:t>enzia come “</w:t>
      </w:r>
      <w:r w:rsidR="00D86A34">
        <w:rPr>
          <w:bCs/>
          <w:lang w:val="it-IT"/>
        </w:rPr>
        <w:t>n</w:t>
      </w:r>
      <w:r w:rsidR="0042451D">
        <w:rPr>
          <w:bCs/>
          <w:lang w:val="it-IT"/>
        </w:rPr>
        <w:t>el I semestre del 2021 le assunzioni con diverso tipo di agevolazione sono state complessivamente 780.128, corrispondenti al 23,5% del totale</w:t>
      </w:r>
      <w:r w:rsidR="009E4666">
        <w:rPr>
          <w:bCs/>
          <w:lang w:val="it-IT"/>
        </w:rPr>
        <w:t xml:space="preserve"> delle assunzioni</w:t>
      </w:r>
      <w:r w:rsidR="0042451D">
        <w:rPr>
          <w:bCs/>
          <w:lang w:val="it-IT"/>
        </w:rPr>
        <w:t>.</w:t>
      </w:r>
      <w:r w:rsidR="00AF0316">
        <w:rPr>
          <w:bCs/>
          <w:lang w:val="it-IT"/>
        </w:rPr>
        <w:t xml:space="preserve"> </w:t>
      </w:r>
      <w:r w:rsidR="0042451D">
        <w:rPr>
          <w:bCs/>
          <w:lang w:val="it-IT"/>
        </w:rPr>
        <w:t>Delle 291.548 assunzioni agevolate di donne (corrispondenti al 22,2 % del totale di tutte le assunzioni femminili), quasi il 60% sono state a part time. Delle 488.580 assunzioni agevolate di uomini (pari al 24,3% del totale delle assunzioni maschili) è a part time solo il 32,5%</w:t>
      </w:r>
      <w:r w:rsidR="001E2A4E">
        <w:rPr>
          <w:bCs/>
          <w:lang w:val="it-IT"/>
        </w:rPr>
        <w:t>”</w:t>
      </w:r>
      <w:r w:rsidR="0042451D">
        <w:rPr>
          <w:bCs/>
          <w:lang w:val="it-IT"/>
        </w:rPr>
        <w:t xml:space="preserve">. </w:t>
      </w:r>
    </w:p>
    <w:p w14:paraId="60C37B97" w14:textId="38B7F07B" w:rsidR="000C2310" w:rsidRDefault="00D04E70">
      <w:pPr>
        <w:jc w:val="both"/>
        <w:rPr>
          <w:bCs/>
          <w:lang w:val="it-IT"/>
        </w:rPr>
      </w:pPr>
      <w:r>
        <w:rPr>
          <w:bCs/>
          <w:lang w:val="it-IT"/>
        </w:rPr>
        <w:t>“In questo scenario, il ricorso ad agevolazioni alle assunzioni non ha portato ad una correzione di ten</w:t>
      </w:r>
      <w:r w:rsidR="00D86A34">
        <w:rPr>
          <w:bCs/>
          <w:lang w:val="it-IT"/>
        </w:rPr>
        <w:t xml:space="preserve">denza” </w:t>
      </w:r>
      <w:r w:rsidR="00E21C75">
        <w:rPr>
          <w:bCs/>
          <w:lang w:val="it-IT"/>
        </w:rPr>
        <w:t>– ha</w:t>
      </w:r>
      <w:r w:rsidR="00D86A34">
        <w:rPr>
          <w:bCs/>
          <w:lang w:val="it-IT"/>
        </w:rPr>
        <w:t xml:space="preserve"> concluso il presidente dell’INAPP – “</w:t>
      </w:r>
      <w:r>
        <w:rPr>
          <w:bCs/>
          <w:lang w:val="it-IT"/>
        </w:rPr>
        <w:t>Continuiamo a trovarci di fronte, pur in presenza di incentivi economici o contributivi, al noto squilibrio di genere: assunzioni femminili minori in valore assoluto e con un’incidenza di part time molto più elevata della componente maschile”. Occorre avviare un</w:t>
      </w:r>
      <w:r w:rsidR="001E1BEF">
        <w:rPr>
          <w:bCs/>
          <w:lang w:val="it-IT"/>
        </w:rPr>
        <w:t>a</w:t>
      </w:r>
      <w:r>
        <w:rPr>
          <w:bCs/>
          <w:lang w:val="it-IT"/>
        </w:rPr>
        <w:t xml:space="preserve"> riflessione sul ruolo “migliorativo”</w:t>
      </w:r>
      <w:r w:rsidR="001E1BEF">
        <w:rPr>
          <w:bCs/>
          <w:lang w:val="it-IT"/>
        </w:rPr>
        <w:t xml:space="preserve"> e </w:t>
      </w:r>
      <w:r w:rsidR="004F0F7B">
        <w:rPr>
          <w:bCs/>
          <w:lang w:val="it-IT"/>
        </w:rPr>
        <w:t>selettivo</w:t>
      </w:r>
      <w:r>
        <w:rPr>
          <w:bCs/>
          <w:lang w:val="it-IT"/>
        </w:rPr>
        <w:t xml:space="preserve"> che, </w:t>
      </w:r>
      <w:r w:rsidR="0048096B">
        <w:rPr>
          <w:bCs/>
          <w:lang w:val="it-IT"/>
        </w:rPr>
        <w:t>a partire proprio da</w:t>
      </w:r>
      <w:r>
        <w:rPr>
          <w:bCs/>
          <w:lang w:val="it-IT"/>
        </w:rPr>
        <w:t xml:space="preserve"> questa fase di riavvio, dovrebbe </w:t>
      </w:r>
      <w:r w:rsidR="004F0F7B">
        <w:rPr>
          <w:bCs/>
          <w:lang w:val="it-IT"/>
        </w:rPr>
        <w:t>caratterizzare il sistema degli</w:t>
      </w:r>
      <w:r>
        <w:rPr>
          <w:bCs/>
          <w:lang w:val="it-IT"/>
        </w:rPr>
        <w:t xml:space="preserve"> incentiv</w:t>
      </w:r>
      <w:r w:rsidR="004F0F7B">
        <w:rPr>
          <w:bCs/>
          <w:lang w:val="it-IT"/>
        </w:rPr>
        <w:t>i</w:t>
      </w:r>
      <w:r>
        <w:rPr>
          <w:bCs/>
          <w:lang w:val="it-IT"/>
        </w:rPr>
        <w:t>.</w:t>
      </w:r>
      <w:r w:rsidR="004F0F7B">
        <w:rPr>
          <w:bCs/>
          <w:lang w:val="it-IT"/>
        </w:rPr>
        <w:t xml:space="preserve"> Il PNRR, d’altronde, con le clausole di condizionalità già si muove in questa direzione”.</w:t>
      </w:r>
    </w:p>
    <w:p w14:paraId="039174A1" w14:textId="7E340513" w:rsidR="00AF0316" w:rsidRDefault="00AF0316">
      <w:pPr>
        <w:jc w:val="both"/>
        <w:rPr>
          <w:bCs/>
          <w:lang w:val="it-IT"/>
        </w:rPr>
      </w:pPr>
    </w:p>
    <w:p w14:paraId="011EFBC1" w14:textId="77777777" w:rsidR="00AF0316" w:rsidRPr="00005DCA" w:rsidRDefault="00AF0316" w:rsidP="00AF0316">
      <w:pPr>
        <w:spacing w:after="0" w:line="276" w:lineRule="auto"/>
        <w:jc w:val="both"/>
        <w:rPr>
          <w:rFonts w:cstheme="minorHAnsi"/>
          <w:lang w:val="it-IT"/>
        </w:rPr>
      </w:pPr>
      <w:r w:rsidRPr="00005DCA">
        <w:rPr>
          <w:rFonts w:cstheme="minorHAnsi"/>
          <w:lang w:val="it-IT"/>
        </w:rPr>
        <w:t>Per maggiori informazioni:</w:t>
      </w:r>
    </w:p>
    <w:p w14:paraId="1CACBEC8" w14:textId="77777777" w:rsidR="00AF0316" w:rsidRPr="00005DCA" w:rsidRDefault="00AF0316" w:rsidP="00AF0316">
      <w:pPr>
        <w:spacing w:after="0" w:line="276" w:lineRule="auto"/>
        <w:jc w:val="both"/>
        <w:rPr>
          <w:rFonts w:cstheme="minorHAnsi"/>
          <w:lang w:val="it-IT"/>
        </w:rPr>
      </w:pPr>
      <w:r w:rsidRPr="00005DCA">
        <w:rPr>
          <w:rFonts w:cstheme="minorHAnsi"/>
          <w:lang w:val="it-IT"/>
        </w:rPr>
        <w:t>Giancarlo Salemi</w:t>
      </w:r>
    </w:p>
    <w:p w14:paraId="2A1FC3D1" w14:textId="77777777" w:rsidR="00AF0316" w:rsidRPr="00005DCA" w:rsidRDefault="00AF0316" w:rsidP="00AF0316">
      <w:pPr>
        <w:spacing w:after="0" w:line="276" w:lineRule="auto"/>
        <w:jc w:val="both"/>
        <w:rPr>
          <w:rFonts w:cstheme="minorHAnsi"/>
          <w:lang w:val="it-IT"/>
        </w:rPr>
      </w:pPr>
      <w:r w:rsidRPr="00005DCA">
        <w:rPr>
          <w:rFonts w:cstheme="minorHAnsi"/>
          <w:lang w:val="it-IT"/>
        </w:rPr>
        <w:t>Portavoce Presidente INAPP (347 6312823)</w:t>
      </w:r>
    </w:p>
    <w:p w14:paraId="1FA80102" w14:textId="77777777" w:rsidR="00AF0316" w:rsidRPr="00C76B8B" w:rsidRDefault="00C87DE2" w:rsidP="00AF0316">
      <w:pPr>
        <w:spacing w:after="0" w:line="276" w:lineRule="auto"/>
        <w:jc w:val="both"/>
        <w:rPr>
          <w:rFonts w:cstheme="minorHAnsi"/>
        </w:rPr>
      </w:pPr>
      <w:hyperlink r:id="rId13" w:history="1">
        <w:r w:rsidR="00AF0316" w:rsidRPr="00C76B8B">
          <w:rPr>
            <w:rStyle w:val="Collegamentoipertestuale"/>
            <w:rFonts w:cstheme="minorHAnsi"/>
          </w:rPr>
          <w:t>stampa@inapp.org</w:t>
        </w:r>
      </w:hyperlink>
    </w:p>
    <w:p w14:paraId="0B3B5DEB" w14:textId="77777777" w:rsidR="00AF0316" w:rsidRPr="00556118" w:rsidRDefault="00AF0316" w:rsidP="00AF0316">
      <w:pPr>
        <w:pStyle w:val="NormaleWeb"/>
        <w:jc w:val="both"/>
        <w:rPr>
          <w:rFonts w:asciiTheme="majorHAnsi" w:hAnsiTheme="majorHAnsi" w:cstheme="majorHAnsi"/>
          <w:color w:val="000000"/>
          <w:sz w:val="22"/>
          <w:szCs w:val="22"/>
        </w:rPr>
      </w:pPr>
    </w:p>
    <w:bookmarkEnd w:id="0"/>
    <w:bookmarkEnd w:id="1"/>
    <w:bookmarkEnd w:id="2"/>
    <w:p w14:paraId="2CB399C6" w14:textId="77777777" w:rsidR="00AF0316" w:rsidRPr="00415CAD" w:rsidRDefault="00AF0316">
      <w:pPr>
        <w:jc w:val="both"/>
        <w:rPr>
          <w:bCs/>
          <w:lang w:val="it-IT"/>
        </w:rPr>
      </w:pPr>
    </w:p>
    <w:sectPr w:rsidR="00AF0316" w:rsidRPr="00415CA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9065" w14:textId="77777777" w:rsidR="00C87DE2" w:rsidRDefault="00C87DE2" w:rsidP="0042451D">
      <w:pPr>
        <w:spacing w:after="0" w:line="240" w:lineRule="auto"/>
      </w:pPr>
      <w:r>
        <w:separator/>
      </w:r>
    </w:p>
  </w:endnote>
  <w:endnote w:type="continuationSeparator" w:id="0">
    <w:p w14:paraId="76E02B62" w14:textId="77777777" w:rsidR="00C87DE2" w:rsidRDefault="00C87DE2" w:rsidP="0042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roman"/>
    <w:notTrueType/>
    <w:pitch w:val="default"/>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61AD" w14:textId="77777777" w:rsidR="00C87DE2" w:rsidRDefault="00C87DE2" w:rsidP="0042451D">
      <w:pPr>
        <w:spacing w:after="0" w:line="240" w:lineRule="auto"/>
      </w:pPr>
      <w:r>
        <w:separator/>
      </w:r>
    </w:p>
  </w:footnote>
  <w:footnote w:type="continuationSeparator" w:id="0">
    <w:p w14:paraId="3EDB6FED" w14:textId="77777777" w:rsidR="00C87DE2" w:rsidRDefault="00C87DE2" w:rsidP="00424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D7AFA"/>
    <w:multiLevelType w:val="hybridMultilevel"/>
    <w:tmpl w:val="6F2EBE68"/>
    <w:lvl w:ilvl="0" w:tplc="47CCE9F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D56F66"/>
    <w:multiLevelType w:val="hybridMultilevel"/>
    <w:tmpl w:val="D05E624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08"/>
    <w:rsid w:val="00000292"/>
    <w:rsid w:val="00000EC2"/>
    <w:rsid w:val="00005DCA"/>
    <w:rsid w:val="000061AF"/>
    <w:rsid w:val="000273F1"/>
    <w:rsid w:val="000801D7"/>
    <w:rsid w:val="00092D97"/>
    <w:rsid w:val="000B25A8"/>
    <w:rsid w:val="000C1064"/>
    <w:rsid w:val="000C2310"/>
    <w:rsid w:val="000C3611"/>
    <w:rsid w:val="000D30B0"/>
    <w:rsid w:val="000F71B5"/>
    <w:rsid w:val="00111D5C"/>
    <w:rsid w:val="00121E43"/>
    <w:rsid w:val="0013135E"/>
    <w:rsid w:val="001409AB"/>
    <w:rsid w:val="00147204"/>
    <w:rsid w:val="001551FD"/>
    <w:rsid w:val="00167A82"/>
    <w:rsid w:val="001E1BEF"/>
    <w:rsid w:val="001E2A4E"/>
    <w:rsid w:val="00201C25"/>
    <w:rsid w:val="0021101A"/>
    <w:rsid w:val="00211D85"/>
    <w:rsid w:val="002212EA"/>
    <w:rsid w:val="002315E5"/>
    <w:rsid w:val="002542E3"/>
    <w:rsid w:val="00265280"/>
    <w:rsid w:val="002877E3"/>
    <w:rsid w:val="002A0046"/>
    <w:rsid w:val="002A2484"/>
    <w:rsid w:val="002A4238"/>
    <w:rsid w:val="002C56AD"/>
    <w:rsid w:val="002D40F2"/>
    <w:rsid w:val="002E6DE0"/>
    <w:rsid w:val="00343C10"/>
    <w:rsid w:val="00360A88"/>
    <w:rsid w:val="00380D9E"/>
    <w:rsid w:val="00383E04"/>
    <w:rsid w:val="003854EE"/>
    <w:rsid w:val="00393664"/>
    <w:rsid w:val="003B1F9E"/>
    <w:rsid w:val="003B6578"/>
    <w:rsid w:val="003D76FF"/>
    <w:rsid w:val="003E05FE"/>
    <w:rsid w:val="003E7661"/>
    <w:rsid w:val="003F6ACF"/>
    <w:rsid w:val="00415CAD"/>
    <w:rsid w:val="004218AF"/>
    <w:rsid w:val="0042451D"/>
    <w:rsid w:val="00426C8D"/>
    <w:rsid w:val="00431557"/>
    <w:rsid w:val="00435011"/>
    <w:rsid w:val="00473E28"/>
    <w:rsid w:val="0048096B"/>
    <w:rsid w:val="004B3708"/>
    <w:rsid w:val="004B3AD4"/>
    <w:rsid w:val="004C1453"/>
    <w:rsid w:val="004F0F7B"/>
    <w:rsid w:val="0052008B"/>
    <w:rsid w:val="0053559A"/>
    <w:rsid w:val="00581C68"/>
    <w:rsid w:val="005A6127"/>
    <w:rsid w:val="005D0103"/>
    <w:rsid w:val="00601CED"/>
    <w:rsid w:val="006237D9"/>
    <w:rsid w:val="00646204"/>
    <w:rsid w:val="00670464"/>
    <w:rsid w:val="006947D1"/>
    <w:rsid w:val="006965FA"/>
    <w:rsid w:val="006A1F6C"/>
    <w:rsid w:val="007263FF"/>
    <w:rsid w:val="00731E0F"/>
    <w:rsid w:val="00736E9B"/>
    <w:rsid w:val="00747833"/>
    <w:rsid w:val="00750D50"/>
    <w:rsid w:val="00757C5D"/>
    <w:rsid w:val="00800088"/>
    <w:rsid w:val="008132E0"/>
    <w:rsid w:val="008445FB"/>
    <w:rsid w:val="00846811"/>
    <w:rsid w:val="008C58CC"/>
    <w:rsid w:val="008E3E76"/>
    <w:rsid w:val="008F1055"/>
    <w:rsid w:val="00914FEC"/>
    <w:rsid w:val="009254A2"/>
    <w:rsid w:val="009377D4"/>
    <w:rsid w:val="009656DE"/>
    <w:rsid w:val="00966FB1"/>
    <w:rsid w:val="00977669"/>
    <w:rsid w:val="00985DEC"/>
    <w:rsid w:val="009879C5"/>
    <w:rsid w:val="00992464"/>
    <w:rsid w:val="009A4779"/>
    <w:rsid w:val="009C7873"/>
    <w:rsid w:val="009C7913"/>
    <w:rsid w:val="009E4666"/>
    <w:rsid w:val="00A00C3E"/>
    <w:rsid w:val="00A2614C"/>
    <w:rsid w:val="00A86E57"/>
    <w:rsid w:val="00AA538D"/>
    <w:rsid w:val="00AF0316"/>
    <w:rsid w:val="00B20AF2"/>
    <w:rsid w:val="00B2304F"/>
    <w:rsid w:val="00B37A26"/>
    <w:rsid w:val="00B413FD"/>
    <w:rsid w:val="00B563AD"/>
    <w:rsid w:val="00BB5103"/>
    <w:rsid w:val="00BC6871"/>
    <w:rsid w:val="00C43EEE"/>
    <w:rsid w:val="00C46E61"/>
    <w:rsid w:val="00C571C3"/>
    <w:rsid w:val="00C86982"/>
    <w:rsid w:val="00C87DE2"/>
    <w:rsid w:val="00C958C0"/>
    <w:rsid w:val="00CF277F"/>
    <w:rsid w:val="00D04584"/>
    <w:rsid w:val="00D04A43"/>
    <w:rsid w:val="00D04E70"/>
    <w:rsid w:val="00D063B3"/>
    <w:rsid w:val="00D365DB"/>
    <w:rsid w:val="00D37572"/>
    <w:rsid w:val="00D44397"/>
    <w:rsid w:val="00D82CE3"/>
    <w:rsid w:val="00D86A34"/>
    <w:rsid w:val="00D955DD"/>
    <w:rsid w:val="00DA384A"/>
    <w:rsid w:val="00DF0C60"/>
    <w:rsid w:val="00DF49C7"/>
    <w:rsid w:val="00DF7838"/>
    <w:rsid w:val="00E21C75"/>
    <w:rsid w:val="00E232EF"/>
    <w:rsid w:val="00E23308"/>
    <w:rsid w:val="00E37984"/>
    <w:rsid w:val="00E44ED5"/>
    <w:rsid w:val="00E464C1"/>
    <w:rsid w:val="00E73586"/>
    <w:rsid w:val="00ED69D8"/>
    <w:rsid w:val="00EE2788"/>
    <w:rsid w:val="00F20DCF"/>
    <w:rsid w:val="00F21D37"/>
    <w:rsid w:val="00F24BD6"/>
    <w:rsid w:val="00F25526"/>
    <w:rsid w:val="00F727DB"/>
    <w:rsid w:val="00F84E76"/>
    <w:rsid w:val="00F963A1"/>
    <w:rsid w:val="00FA24E6"/>
    <w:rsid w:val="00FB04CF"/>
    <w:rsid w:val="00FE014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03BD"/>
  <w15:chartTrackingRefBased/>
  <w15:docId w15:val="{2FABDCA8-960E-449E-9CD7-535AD451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3708"/>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B3708"/>
    <w:pPr>
      <w:ind w:left="720"/>
      <w:contextualSpacing/>
    </w:pPr>
  </w:style>
  <w:style w:type="character" w:styleId="Enfasigrassetto">
    <w:name w:val="Strong"/>
    <w:basedOn w:val="Carpredefinitoparagrafo"/>
    <w:uiPriority w:val="22"/>
    <w:qFormat/>
    <w:rsid w:val="001551FD"/>
    <w:rPr>
      <w:b/>
      <w:bCs/>
    </w:rPr>
  </w:style>
  <w:style w:type="character" w:styleId="Rimandocommento">
    <w:name w:val="annotation reference"/>
    <w:basedOn w:val="Carpredefinitoparagrafo"/>
    <w:uiPriority w:val="99"/>
    <w:semiHidden/>
    <w:unhideWhenUsed/>
    <w:rsid w:val="00D365DB"/>
    <w:rPr>
      <w:sz w:val="16"/>
      <w:szCs w:val="16"/>
    </w:rPr>
  </w:style>
  <w:style w:type="paragraph" w:styleId="Testocommento">
    <w:name w:val="annotation text"/>
    <w:basedOn w:val="Normale"/>
    <w:link w:val="TestocommentoCarattere"/>
    <w:uiPriority w:val="99"/>
    <w:semiHidden/>
    <w:unhideWhenUsed/>
    <w:rsid w:val="00D365D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365DB"/>
    <w:rPr>
      <w:sz w:val="20"/>
      <w:szCs w:val="20"/>
      <w:lang w:val="en-GB"/>
    </w:rPr>
  </w:style>
  <w:style w:type="paragraph" w:styleId="Soggettocommento">
    <w:name w:val="annotation subject"/>
    <w:basedOn w:val="Testocommento"/>
    <w:next w:val="Testocommento"/>
    <w:link w:val="SoggettocommentoCarattere"/>
    <w:uiPriority w:val="99"/>
    <w:semiHidden/>
    <w:unhideWhenUsed/>
    <w:rsid w:val="00D365DB"/>
    <w:rPr>
      <w:b/>
      <w:bCs/>
    </w:rPr>
  </w:style>
  <w:style w:type="character" w:customStyle="1" w:styleId="SoggettocommentoCarattere">
    <w:name w:val="Soggetto commento Carattere"/>
    <w:basedOn w:val="TestocommentoCarattere"/>
    <w:link w:val="Soggettocommento"/>
    <w:uiPriority w:val="99"/>
    <w:semiHidden/>
    <w:rsid w:val="00D365DB"/>
    <w:rPr>
      <w:b/>
      <w:bCs/>
      <w:sz w:val="20"/>
      <w:szCs w:val="20"/>
      <w:lang w:val="en-GB"/>
    </w:rPr>
  </w:style>
  <w:style w:type="paragraph" w:styleId="Testonotaapidipagina">
    <w:name w:val="footnote text"/>
    <w:basedOn w:val="Normale"/>
    <w:link w:val="TestonotaapidipaginaCarattere"/>
    <w:uiPriority w:val="99"/>
    <w:semiHidden/>
    <w:unhideWhenUsed/>
    <w:rsid w:val="0042451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451D"/>
    <w:rPr>
      <w:sz w:val="20"/>
      <w:szCs w:val="20"/>
      <w:lang w:val="en-GB"/>
    </w:rPr>
  </w:style>
  <w:style w:type="character" w:styleId="Rimandonotaapidipagina">
    <w:name w:val="footnote reference"/>
    <w:basedOn w:val="Carpredefinitoparagrafo"/>
    <w:uiPriority w:val="99"/>
    <w:semiHidden/>
    <w:unhideWhenUsed/>
    <w:rsid w:val="0042451D"/>
    <w:rPr>
      <w:vertAlign w:val="superscript"/>
    </w:rPr>
  </w:style>
  <w:style w:type="character" w:styleId="Collegamentoipertestuale">
    <w:name w:val="Hyperlink"/>
    <w:basedOn w:val="Carpredefinitoparagrafo"/>
    <w:uiPriority w:val="99"/>
    <w:unhideWhenUsed/>
    <w:rsid w:val="0042451D"/>
    <w:rPr>
      <w:color w:val="0563C1" w:themeColor="hyperlink"/>
      <w:u w:val="single"/>
    </w:rPr>
  </w:style>
  <w:style w:type="table" w:styleId="Grigliatabella">
    <w:name w:val="Table Grid"/>
    <w:basedOn w:val="Tabellanormale"/>
    <w:uiPriority w:val="39"/>
    <w:rsid w:val="00985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F0316"/>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404539">
      <w:bodyDiv w:val="1"/>
      <w:marLeft w:val="0"/>
      <w:marRight w:val="0"/>
      <w:marTop w:val="0"/>
      <w:marBottom w:val="0"/>
      <w:divBdr>
        <w:top w:val="none" w:sz="0" w:space="0" w:color="auto"/>
        <w:left w:val="none" w:sz="0" w:space="0" w:color="auto"/>
        <w:bottom w:val="none" w:sz="0" w:space="0" w:color="auto"/>
        <w:right w:val="none" w:sz="0" w:space="0" w:color="auto"/>
      </w:divBdr>
      <w:divsChild>
        <w:div w:id="1940407340">
          <w:marLeft w:val="0"/>
          <w:marRight w:val="0"/>
          <w:marTop w:val="0"/>
          <w:marBottom w:val="0"/>
          <w:divBdr>
            <w:top w:val="none" w:sz="0" w:space="0" w:color="auto"/>
            <w:left w:val="none" w:sz="0" w:space="0" w:color="auto"/>
            <w:bottom w:val="none" w:sz="0" w:space="0" w:color="auto"/>
            <w:right w:val="none" w:sz="0" w:space="0" w:color="auto"/>
          </w:divBdr>
        </w:div>
      </w:divsChild>
    </w:div>
    <w:div w:id="1705135380">
      <w:bodyDiv w:val="1"/>
      <w:marLeft w:val="0"/>
      <w:marRight w:val="0"/>
      <w:marTop w:val="0"/>
      <w:marBottom w:val="0"/>
      <w:divBdr>
        <w:top w:val="none" w:sz="0" w:space="0" w:color="auto"/>
        <w:left w:val="none" w:sz="0" w:space="0" w:color="auto"/>
        <w:bottom w:val="none" w:sz="0" w:space="0" w:color="auto"/>
        <w:right w:val="none" w:sz="0" w:space="0" w:color="auto"/>
      </w:divBdr>
      <w:divsChild>
        <w:div w:id="1649818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ampa@inapp.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di\Desktop\Nuovi%20rapporti%20di%20lavoro%20(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di\OneDrive\Desktop\Figue%20PB%20part%20tim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1000" b="1">
                <a:solidFill>
                  <a:sysClr val="windowText" lastClr="000000"/>
                </a:solidFill>
              </a:rPr>
              <a:t>Fig.1</a:t>
            </a:r>
            <a:r>
              <a:rPr lang="it-IT" sz="1000" b="1" i="0" u="none" strike="noStrike" kern="1200" spc="0" baseline="0">
                <a:solidFill>
                  <a:sysClr val="windowText" lastClr="000000"/>
                </a:solidFill>
                <a:latin typeface="+mn-lt"/>
                <a:ea typeface="+mn-ea"/>
                <a:cs typeface="+mn-cs"/>
              </a:rPr>
              <a:t> </a:t>
            </a:r>
            <a:r>
              <a:rPr lang="it-IT" sz="1000" b="1">
                <a:solidFill>
                  <a:sysClr val="windowText" lastClr="000000"/>
                </a:solidFill>
              </a:rPr>
              <a:t>Incidenza</a:t>
            </a:r>
            <a:r>
              <a:rPr lang="it-IT" sz="1000" b="1" baseline="0">
                <a:solidFill>
                  <a:sysClr val="windowText" lastClr="000000"/>
                </a:solidFill>
              </a:rPr>
              <a:t> % part time per genere e tipologia contrattuale sul totale nuove attivazioni</a:t>
            </a:r>
            <a:r>
              <a:rPr lang="it-IT" sz="1000" b="1" i="0" u="none" strike="noStrike" kern="1200" spc="0" baseline="0">
                <a:solidFill>
                  <a:sysClr val="windowText" lastClr="000000"/>
                </a:solidFill>
                <a:latin typeface="+mn-lt"/>
                <a:ea typeface="+mn-ea"/>
                <a:cs typeface="+mn-cs"/>
              </a:rPr>
              <a:t> </a:t>
            </a:r>
            <a:r>
              <a:rPr lang="it-IT" sz="1000" b="1" baseline="0">
                <a:solidFill>
                  <a:sysClr val="windowText" lastClr="000000"/>
                </a:solidFill>
              </a:rPr>
              <a:t>- I sem 2021</a:t>
            </a:r>
            <a:endParaRPr lang="it-IT"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clustered"/>
        <c:varyColors val="0"/>
        <c:ser>
          <c:idx val="0"/>
          <c:order val="0"/>
          <c:tx>
            <c:strRef>
              <c:f>Foglio5!$C$3</c:f>
              <c:strCache>
                <c:ptCount val="1"/>
                <c:pt idx="0">
                  <c:v>%PT su tot F</c:v>
                </c:pt>
              </c:strCache>
            </c:strRef>
          </c:tx>
          <c:spPr>
            <a:solidFill>
              <a:srgbClr val="FF0000"/>
            </a:solidFill>
            <a:ln>
              <a:noFill/>
            </a:ln>
            <a:effectLst/>
          </c:spPr>
          <c:invertIfNegative val="0"/>
          <c:dLbls>
            <c:spPr>
              <a:solidFill>
                <a:srgbClr val="FF7C8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Foglio5!$B$4:$B$8</c:f>
              <c:strCache>
                <c:ptCount val="5"/>
                <c:pt idx="0">
                  <c:v>TEMPO INDETERMINATO</c:v>
                </c:pt>
                <c:pt idx="1">
                  <c:v>TEMPO DETERMINATO</c:v>
                </c:pt>
                <c:pt idx="2">
                  <c:v>APPRENDISTATO</c:v>
                </c:pt>
                <c:pt idx="3">
                  <c:v>STAGIONALI</c:v>
                </c:pt>
                <c:pt idx="4">
                  <c:v>TOTALE</c:v>
                </c:pt>
              </c:strCache>
            </c:strRef>
          </c:cat>
          <c:val>
            <c:numRef>
              <c:f>Foglio5!$C$4:$C$8</c:f>
              <c:numCache>
                <c:formatCode>General</c:formatCode>
                <c:ptCount val="5"/>
                <c:pt idx="0">
                  <c:v>54.5</c:v>
                </c:pt>
                <c:pt idx="1">
                  <c:v>63.7</c:v>
                </c:pt>
                <c:pt idx="2">
                  <c:v>44.5</c:v>
                </c:pt>
                <c:pt idx="3">
                  <c:v>45.9</c:v>
                </c:pt>
                <c:pt idx="4">
                  <c:v>49.6</c:v>
                </c:pt>
              </c:numCache>
            </c:numRef>
          </c:val>
          <c:extLst>
            <c:ext xmlns:c16="http://schemas.microsoft.com/office/drawing/2014/chart" uri="{C3380CC4-5D6E-409C-BE32-E72D297353CC}">
              <c16:uniqueId val="{00000000-0A80-4387-B672-E4D349784975}"/>
            </c:ext>
          </c:extLst>
        </c:ser>
        <c:ser>
          <c:idx val="1"/>
          <c:order val="1"/>
          <c:tx>
            <c:strRef>
              <c:f>Foglio5!$D$3</c:f>
              <c:strCache>
                <c:ptCount val="1"/>
                <c:pt idx="0">
                  <c:v>%PT su tot M</c:v>
                </c:pt>
              </c:strCache>
            </c:strRef>
          </c:tx>
          <c:spPr>
            <a:solidFill>
              <a:srgbClr val="0070C0"/>
            </a:solidFill>
            <a:ln>
              <a:noFill/>
            </a:ln>
            <a:effectLst/>
          </c:spPr>
          <c:invertIfNegative val="0"/>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Foglio5!$B$4:$B$8</c:f>
              <c:strCache>
                <c:ptCount val="5"/>
                <c:pt idx="0">
                  <c:v>TEMPO INDETERMINATO</c:v>
                </c:pt>
                <c:pt idx="1">
                  <c:v>TEMPO DETERMINATO</c:v>
                </c:pt>
                <c:pt idx="2">
                  <c:v>APPRENDISTATO</c:v>
                </c:pt>
                <c:pt idx="3">
                  <c:v>STAGIONALI</c:v>
                </c:pt>
                <c:pt idx="4">
                  <c:v>TOTALE</c:v>
                </c:pt>
              </c:strCache>
            </c:strRef>
          </c:cat>
          <c:val>
            <c:numRef>
              <c:f>Foglio5!$D$4:$D$8</c:f>
              <c:numCache>
                <c:formatCode>General</c:formatCode>
                <c:ptCount val="5"/>
                <c:pt idx="0">
                  <c:v>24.4</c:v>
                </c:pt>
                <c:pt idx="1">
                  <c:v>31.1</c:v>
                </c:pt>
                <c:pt idx="2">
                  <c:v>21.7</c:v>
                </c:pt>
                <c:pt idx="3">
                  <c:v>33.299999999999997</c:v>
                </c:pt>
                <c:pt idx="4">
                  <c:v>26.6</c:v>
                </c:pt>
              </c:numCache>
            </c:numRef>
          </c:val>
          <c:extLst>
            <c:ext xmlns:c16="http://schemas.microsoft.com/office/drawing/2014/chart" uri="{C3380CC4-5D6E-409C-BE32-E72D297353CC}">
              <c16:uniqueId val="{00000001-0A80-4387-B672-E4D349784975}"/>
            </c:ext>
          </c:extLst>
        </c:ser>
        <c:dLbls>
          <c:showLegendKey val="0"/>
          <c:showVal val="0"/>
          <c:showCatName val="0"/>
          <c:showSerName val="0"/>
          <c:showPercent val="0"/>
          <c:showBubbleSize val="0"/>
        </c:dLbls>
        <c:gapWidth val="219"/>
        <c:overlap val="-27"/>
        <c:axId val="1651112159"/>
        <c:axId val="1651164287"/>
      </c:barChart>
      <c:catAx>
        <c:axId val="1651112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651164287"/>
        <c:crosses val="autoZero"/>
        <c:auto val="1"/>
        <c:lblAlgn val="ctr"/>
        <c:lblOffset val="100"/>
        <c:noMultiLvlLbl val="0"/>
      </c:catAx>
      <c:valAx>
        <c:axId val="1651164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651112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it-IT" sz="1000" b="1"/>
              <a:t>Fig. 2 Numero attivazioni per genere e incidenza % part time sul totale delle attivazioni per genere e</a:t>
            </a:r>
            <a:r>
              <a:rPr lang="it-IT" sz="1000" b="1" baseline="0"/>
              <a:t> regione - I sem 2021</a:t>
            </a:r>
            <a:endParaRPr lang="it-IT"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clustered"/>
        <c:varyColors val="0"/>
        <c:ser>
          <c:idx val="0"/>
          <c:order val="0"/>
          <c:tx>
            <c:strRef>
              <c:f>fig.5!$H$2</c:f>
              <c:strCache>
                <c:ptCount val="1"/>
                <c:pt idx="0">
                  <c:v>F</c:v>
                </c:pt>
              </c:strCache>
            </c:strRef>
          </c:tx>
          <c:spPr>
            <a:solidFill>
              <a:srgbClr val="FF0000"/>
            </a:solidFill>
            <a:ln>
              <a:noFill/>
            </a:ln>
            <a:effectLst/>
          </c:spPr>
          <c:invertIfNegative val="0"/>
          <c:cat>
            <c:strRef>
              <c:f>fig.5!$G$3:$G$22</c:f>
              <c:strCache>
                <c:ptCount val="20"/>
                <c:pt idx="0">
                  <c:v>Piemonte</c:v>
                </c:pt>
                <c:pt idx="1">
                  <c:v>Valle d'Aosta</c:v>
                </c:pt>
                <c:pt idx="2">
                  <c:v>Liguria</c:v>
                </c:pt>
                <c:pt idx="3">
                  <c:v>Lombardia</c:v>
                </c:pt>
                <c:pt idx="4">
                  <c:v>Trentino -Alto-Adige</c:v>
                </c:pt>
                <c:pt idx="5">
                  <c:v>Veneto</c:v>
                </c:pt>
                <c:pt idx="6">
                  <c:v>Friuli -Venezia Giulia</c:v>
                </c:pt>
                <c:pt idx="7">
                  <c:v>Emilia -Romagna</c:v>
                </c:pt>
                <c:pt idx="8">
                  <c:v>Toscana</c:v>
                </c:pt>
                <c:pt idx="9">
                  <c:v>Umbria</c:v>
                </c:pt>
                <c:pt idx="10">
                  <c:v>Marche</c:v>
                </c:pt>
                <c:pt idx="11">
                  <c:v>Lazio</c:v>
                </c:pt>
                <c:pt idx="12">
                  <c:v>Abruzzo</c:v>
                </c:pt>
                <c:pt idx="13">
                  <c:v>Molise</c:v>
                </c:pt>
                <c:pt idx="14">
                  <c:v>Campania</c:v>
                </c:pt>
                <c:pt idx="15">
                  <c:v>Puglia</c:v>
                </c:pt>
                <c:pt idx="16">
                  <c:v>Basilicata</c:v>
                </c:pt>
                <c:pt idx="17">
                  <c:v>Calabria</c:v>
                </c:pt>
                <c:pt idx="18">
                  <c:v>Sicilia</c:v>
                </c:pt>
                <c:pt idx="19">
                  <c:v>Sardegna</c:v>
                </c:pt>
              </c:strCache>
            </c:strRef>
          </c:cat>
          <c:val>
            <c:numRef>
              <c:f>fig.5!$H$3:$H$22</c:f>
              <c:numCache>
                <c:formatCode>#,##0</c:formatCode>
                <c:ptCount val="20"/>
                <c:pt idx="0">
                  <c:v>83676</c:v>
                </c:pt>
                <c:pt idx="1">
                  <c:v>4514</c:v>
                </c:pt>
                <c:pt idx="2">
                  <c:v>38142</c:v>
                </c:pt>
                <c:pt idx="3">
                  <c:v>229965</c:v>
                </c:pt>
                <c:pt idx="4">
                  <c:v>43729</c:v>
                </c:pt>
                <c:pt idx="5">
                  <c:v>129698</c:v>
                </c:pt>
                <c:pt idx="6">
                  <c:v>28224</c:v>
                </c:pt>
                <c:pt idx="7">
                  <c:v>137265</c:v>
                </c:pt>
                <c:pt idx="8">
                  <c:v>97034</c:v>
                </c:pt>
                <c:pt idx="9">
                  <c:v>15702</c:v>
                </c:pt>
                <c:pt idx="10">
                  <c:v>42628</c:v>
                </c:pt>
                <c:pt idx="11">
                  <c:v>152838</c:v>
                </c:pt>
                <c:pt idx="12">
                  <c:v>31546</c:v>
                </c:pt>
                <c:pt idx="13">
                  <c:v>4422</c:v>
                </c:pt>
                <c:pt idx="14">
                  <c:v>75206</c:v>
                </c:pt>
                <c:pt idx="15">
                  <c:v>75151</c:v>
                </c:pt>
                <c:pt idx="16">
                  <c:v>8031</c:v>
                </c:pt>
                <c:pt idx="17">
                  <c:v>20373</c:v>
                </c:pt>
                <c:pt idx="18">
                  <c:v>59230</c:v>
                </c:pt>
                <c:pt idx="19">
                  <c:v>38522</c:v>
                </c:pt>
              </c:numCache>
            </c:numRef>
          </c:val>
          <c:extLst>
            <c:ext xmlns:c16="http://schemas.microsoft.com/office/drawing/2014/chart" uri="{C3380CC4-5D6E-409C-BE32-E72D297353CC}">
              <c16:uniqueId val="{00000000-3DB4-42A5-829A-E652E425C501}"/>
            </c:ext>
          </c:extLst>
        </c:ser>
        <c:ser>
          <c:idx val="1"/>
          <c:order val="1"/>
          <c:tx>
            <c:strRef>
              <c:f>fig.5!$I$2</c:f>
              <c:strCache>
                <c:ptCount val="1"/>
                <c:pt idx="0">
                  <c:v>M</c:v>
                </c:pt>
              </c:strCache>
            </c:strRef>
          </c:tx>
          <c:spPr>
            <a:solidFill>
              <a:srgbClr val="0070C0"/>
            </a:solidFill>
            <a:ln>
              <a:noFill/>
            </a:ln>
            <a:effectLst/>
          </c:spPr>
          <c:invertIfNegative val="0"/>
          <c:cat>
            <c:strRef>
              <c:f>fig.5!$G$3:$G$22</c:f>
              <c:strCache>
                <c:ptCount val="20"/>
                <c:pt idx="0">
                  <c:v>Piemonte</c:v>
                </c:pt>
                <c:pt idx="1">
                  <c:v>Valle d'Aosta</c:v>
                </c:pt>
                <c:pt idx="2">
                  <c:v>Liguria</c:v>
                </c:pt>
                <c:pt idx="3">
                  <c:v>Lombardia</c:v>
                </c:pt>
                <c:pt idx="4">
                  <c:v>Trentino -Alto-Adige</c:v>
                </c:pt>
                <c:pt idx="5">
                  <c:v>Veneto</c:v>
                </c:pt>
                <c:pt idx="6">
                  <c:v>Friuli -Venezia Giulia</c:v>
                </c:pt>
                <c:pt idx="7">
                  <c:v>Emilia -Romagna</c:v>
                </c:pt>
                <c:pt idx="8">
                  <c:v>Toscana</c:v>
                </c:pt>
                <c:pt idx="9">
                  <c:v>Umbria</c:v>
                </c:pt>
                <c:pt idx="10">
                  <c:v>Marche</c:v>
                </c:pt>
                <c:pt idx="11">
                  <c:v>Lazio</c:v>
                </c:pt>
                <c:pt idx="12">
                  <c:v>Abruzzo</c:v>
                </c:pt>
                <c:pt idx="13">
                  <c:v>Molise</c:v>
                </c:pt>
                <c:pt idx="14">
                  <c:v>Campania</c:v>
                </c:pt>
                <c:pt idx="15">
                  <c:v>Puglia</c:v>
                </c:pt>
                <c:pt idx="16">
                  <c:v>Basilicata</c:v>
                </c:pt>
                <c:pt idx="17">
                  <c:v>Calabria</c:v>
                </c:pt>
                <c:pt idx="18">
                  <c:v>Sicilia</c:v>
                </c:pt>
                <c:pt idx="19">
                  <c:v>Sardegna</c:v>
                </c:pt>
              </c:strCache>
            </c:strRef>
          </c:cat>
          <c:val>
            <c:numRef>
              <c:f>fig.5!$I$3:$I$22</c:f>
              <c:numCache>
                <c:formatCode>#,##0</c:formatCode>
                <c:ptCount val="20"/>
                <c:pt idx="0">
                  <c:v>113496</c:v>
                </c:pt>
                <c:pt idx="1">
                  <c:v>5255</c:v>
                </c:pt>
                <c:pt idx="2">
                  <c:v>53074</c:v>
                </c:pt>
                <c:pt idx="3">
                  <c:v>357972</c:v>
                </c:pt>
                <c:pt idx="4">
                  <c:v>50241</c:v>
                </c:pt>
                <c:pt idx="5">
                  <c:v>174192</c:v>
                </c:pt>
                <c:pt idx="6">
                  <c:v>38904</c:v>
                </c:pt>
                <c:pt idx="7">
                  <c:v>181385</c:v>
                </c:pt>
                <c:pt idx="8">
                  <c:v>122016</c:v>
                </c:pt>
                <c:pt idx="9">
                  <c:v>21583</c:v>
                </c:pt>
                <c:pt idx="10">
                  <c:v>58504</c:v>
                </c:pt>
                <c:pt idx="11">
                  <c:v>232786</c:v>
                </c:pt>
                <c:pt idx="12">
                  <c:v>48272</c:v>
                </c:pt>
                <c:pt idx="13">
                  <c:v>7780</c:v>
                </c:pt>
                <c:pt idx="14">
                  <c:v>167374</c:v>
                </c:pt>
                <c:pt idx="15">
                  <c:v>128393</c:v>
                </c:pt>
                <c:pt idx="16">
                  <c:v>18751</c:v>
                </c:pt>
                <c:pt idx="17">
                  <c:v>39444</c:v>
                </c:pt>
                <c:pt idx="18">
                  <c:v>130021</c:v>
                </c:pt>
                <c:pt idx="19">
                  <c:v>56509</c:v>
                </c:pt>
              </c:numCache>
            </c:numRef>
          </c:val>
          <c:extLst>
            <c:ext xmlns:c16="http://schemas.microsoft.com/office/drawing/2014/chart" uri="{C3380CC4-5D6E-409C-BE32-E72D297353CC}">
              <c16:uniqueId val="{00000001-3DB4-42A5-829A-E652E425C501}"/>
            </c:ext>
          </c:extLst>
        </c:ser>
        <c:dLbls>
          <c:showLegendKey val="0"/>
          <c:showVal val="0"/>
          <c:showCatName val="0"/>
          <c:showSerName val="0"/>
          <c:showPercent val="0"/>
          <c:showBubbleSize val="0"/>
        </c:dLbls>
        <c:gapWidth val="219"/>
        <c:overlap val="-27"/>
        <c:axId val="1072845631"/>
        <c:axId val="1069734399"/>
      </c:barChart>
      <c:lineChart>
        <c:grouping val="standard"/>
        <c:varyColors val="0"/>
        <c:ser>
          <c:idx val="2"/>
          <c:order val="2"/>
          <c:tx>
            <c:strRef>
              <c:f>fig.5!$J$2</c:f>
              <c:strCache>
                <c:ptCount val="1"/>
                <c:pt idx="0">
                  <c:v>%F</c:v>
                </c:pt>
              </c:strCache>
            </c:strRef>
          </c:tx>
          <c:spPr>
            <a:ln w="25400" cap="rnd">
              <a:noFill/>
              <a:round/>
            </a:ln>
            <a:effectLst/>
          </c:spPr>
          <c:marker>
            <c:symbol val="circle"/>
            <c:size val="7"/>
            <c:spPr>
              <a:solidFill>
                <a:srgbClr val="CC0000"/>
              </a:solidFill>
              <a:ln w="9525">
                <a:noFill/>
              </a:ln>
              <a:effectLst/>
            </c:spPr>
          </c:marker>
          <c:dLbls>
            <c:spPr>
              <a:solidFill>
                <a:srgbClr val="FF7C8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fig.5!$G$3:$G$22</c:f>
              <c:strCache>
                <c:ptCount val="20"/>
                <c:pt idx="0">
                  <c:v>Piemonte</c:v>
                </c:pt>
                <c:pt idx="1">
                  <c:v>Valle d'Aosta</c:v>
                </c:pt>
                <c:pt idx="2">
                  <c:v>Liguria</c:v>
                </c:pt>
                <c:pt idx="3">
                  <c:v>Lombardia</c:v>
                </c:pt>
                <c:pt idx="4">
                  <c:v>Trentino -Alto-Adige</c:v>
                </c:pt>
                <c:pt idx="5">
                  <c:v>Veneto</c:v>
                </c:pt>
                <c:pt idx="6">
                  <c:v>Friuli -Venezia Giulia</c:v>
                </c:pt>
                <c:pt idx="7">
                  <c:v>Emilia -Romagna</c:v>
                </c:pt>
                <c:pt idx="8">
                  <c:v>Toscana</c:v>
                </c:pt>
                <c:pt idx="9">
                  <c:v>Umbria</c:v>
                </c:pt>
                <c:pt idx="10">
                  <c:v>Marche</c:v>
                </c:pt>
                <c:pt idx="11">
                  <c:v>Lazio</c:v>
                </c:pt>
                <c:pt idx="12">
                  <c:v>Abruzzo</c:v>
                </c:pt>
                <c:pt idx="13">
                  <c:v>Molise</c:v>
                </c:pt>
                <c:pt idx="14">
                  <c:v>Campania</c:v>
                </c:pt>
                <c:pt idx="15">
                  <c:v>Puglia</c:v>
                </c:pt>
                <c:pt idx="16">
                  <c:v>Basilicata</c:v>
                </c:pt>
                <c:pt idx="17">
                  <c:v>Calabria</c:v>
                </c:pt>
                <c:pt idx="18">
                  <c:v>Sicilia</c:v>
                </c:pt>
                <c:pt idx="19">
                  <c:v>Sardegna</c:v>
                </c:pt>
              </c:strCache>
            </c:strRef>
          </c:cat>
          <c:val>
            <c:numRef>
              <c:f>fig.5!$J$3:$J$22</c:f>
              <c:numCache>
                <c:formatCode>0.0</c:formatCode>
                <c:ptCount val="20"/>
                <c:pt idx="0">
                  <c:v>44.674697643290791</c:v>
                </c:pt>
                <c:pt idx="1">
                  <c:v>43.354009747452373</c:v>
                </c:pt>
                <c:pt idx="2">
                  <c:v>51.806407634628492</c:v>
                </c:pt>
                <c:pt idx="3">
                  <c:v>41.394994890526817</c:v>
                </c:pt>
                <c:pt idx="4">
                  <c:v>38.315534313613391</c:v>
                </c:pt>
                <c:pt idx="5">
                  <c:v>44.657589168684176</c:v>
                </c:pt>
                <c:pt idx="6">
                  <c:v>49.259495464852606</c:v>
                </c:pt>
                <c:pt idx="7">
                  <c:v>43.580665136779224</c:v>
                </c:pt>
                <c:pt idx="8">
                  <c:v>54.300554444833772</c:v>
                </c:pt>
                <c:pt idx="9">
                  <c:v>46.783849191185837</c:v>
                </c:pt>
                <c:pt idx="10">
                  <c:v>49.261049075724877</c:v>
                </c:pt>
                <c:pt idx="11">
                  <c:v>44.674099373192533</c:v>
                </c:pt>
                <c:pt idx="12">
                  <c:v>59.99809801559627</c:v>
                </c:pt>
                <c:pt idx="13">
                  <c:v>73.857982813206689</c:v>
                </c:pt>
                <c:pt idx="14">
                  <c:v>64.520118075685446</c:v>
                </c:pt>
                <c:pt idx="15">
                  <c:v>61.380420752884191</c:v>
                </c:pt>
                <c:pt idx="16">
                  <c:v>62.956045324368077</c:v>
                </c:pt>
                <c:pt idx="17">
                  <c:v>74.358219211701766</c:v>
                </c:pt>
                <c:pt idx="18">
                  <c:v>72.881985480330911</c:v>
                </c:pt>
                <c:pt idx="19">
                  <c:v>54.599968848969418</c:v>
                </c:pt>
              </c:numCache>
            </c:numRef>
          </c:val>
          <c:smooth val="0"/>
          <c:extLst>
            <c:ext xmlns:c16="http://schemas.microsoft.com/office/drawing/2014/chart" uri="{C3380CC4-5D6E-409C-BE32-E72D297353CC}">
              <c16:uniqueId val="{00000002-3DB4-42A5-829A-E652E425C501}"/>
            </c:ext>
          </c:extLst>
        </c:ser>
        <c:ser>
          <c:idx val="3"/>
          <c:order val="3"/>
          <c:tx>
            <c:strRef>
              <c:f>fig.5!$K$2</c:f>
              <c:strCache>
                <c:ptCount val="1"/>
                <c:pt idx="0">
                  <c:v>%M</c:v>
                </c:pt>
              </c:strCache>
            </c:strRef>
          </c:tx>
          <c:spPr>
            <a:ln w="25400" cap="rnd">
              <a:noFill/>
              <a:round/>
            </a:ln>
            <a:effectLst/>
          </c:spPr>
          <c:marker>
            <c:symbol val="circle"/>
            <c:size val="7"/>
            <c:spPr>
              <a:solidFill>
                <a:srgbClr val="00B0F0"/>
              </a:solidFill>
              <a:ln w="9525">
                <a:solidFill>
                  <a:schemeClr val="accent1"/>
                </a:solidFill>
              </a:ln>
              <a:effectLst/>
            </c:spPr>
          </c:marker>
          <c:dLbls>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fig.5!$G$3:$G$22</c:f>
              <c:strCache>
                <c:ptCount val="20"/>
                <c:pt idx="0">
                  <c:v>Piemonte</c:v>
                </c:pt>
                <c:pt idx="1">
                  <c:v>Valle d'Aosta</c:v>
                </c:pt>
                <c:pt idx="2">
                  <c:v>Liguria</c:v>
                </c:pt>
                <c:pt idx="3">
                  <c:v>Lombardia</c:v>
                </c:pt>
                <c:pt idx="4">
                  <c:v>Trentino -Alto-Adige</c:v>
                </c:pt>
                <c:pt idx="5">
                  <c:v>Veneto</c:v>
                </c:pt>
                <c:pt idx="6">
                  <c:v>Friuli -Venezia Giulia</c:v>
                </c:pt>
                <c:pt idx="7">
                  <c:v>Emilia -Romagna</c:v>
                </c:pt>
                <c:pt idx="8">
                  <c:v>Toscana</c:v>
                </c:pt>
                <c:pt idx="9">
                  <c:v>Umbria</c:v>
                </c:pt>
                <c:pt idx="10">
                  <c:v>Marche</c:v>
                </c:pt>
                <c:pt idx="11">
                  <c:v>Lazio</c:v>
                </c:pt>
                <c:pt idx="12">
                  <c:v>Abruzzo</c:v>
                </c:pt>
                <c:pt idx="13">
                  <c:v>Molise</c:v>
                </c:pt>
                <c:pt idx="14">
                  <c:v>Campania</c:v>
                </c:pt>
                <c:pt idx="15">
                  <c:v>Puglia</c:v>
                </c:pt>
                <c:pt idx="16">
                  <c:v>Basilicata</c:v>
                </c:pt>
                <c:pt idx="17">
                  <c:v>Calabria</c:v>
                </c:pt>
                <c:pt idx="18">
                  <c:v>Sicilia</c:v>
                </c:pt>
                <c:pt idx="19">
                  <c:v>Sardegna</c:v>
                </c:pt>
              </c:strCache>
            </c:strRef>
          </c:cat>
          <c:val>
            <c:numRef>
              <c:f>fig.5!$K$3:$K$22</c:f>
              <c:numCache>
                <c:formatCode>0.0</c:formatCode>
                <c:ptCount val="20"/>
                <c:pt idx="0">
                  <c:v>21.59459364206668</c:v>
                </c:pt>
                <c:pt idx="1">
                  <c:v>16.784015223596576</c:v>
                </c:pt>
                <c:pt idx="2">
                  <c:v>27.226137091607942</c:v>
                </c:pt>
                <c:pt idx="3">
                  <c:v>20.757210061122098</c:v>
                </c:pt>
                <c:pt idx="4">
                  <c:v>15.992914153778786</c:v>
                </c:pt>
                <c:pt idx="5">
                  <c:v>19.541081105906127</c:v>
                </c:pt>
                <c:pt idx="6">
                  <c:v>19.224244293645899</c:v>
                </c:pt>
                <c:pt idx="7">
                  <c:v>22.989221820988504</c:v>
                </c:pt>
                <c:pt idx="8">
                  <c:v>30.049337791765016</c:v>
                </c:pt>
                <c:pt idx="9">
                  <c:v>21.150905805495064</c:v>
                </c:pt>
                <c:pt idx="10">
                  <c:v>25.437576917817584</c:v>
                </c:pt>
                <c:pt idx="11">
                  <c:v>24.810770407155069</c:v>
                </c:pt>
                <c:pt idx="12">
                  <c:v>30.806678820019886</c:v>
                </c:pt>
                <c:pt idx="13">
                  <c:v>37.994858611825194</c:v>
                </c:pt>
                <c:pt idx="14">
                  <c:v>37.0182943587415</c:v>
                </c:pt>
                <c:pt idx="15">
                  <c:v>38.442905765890664</c:v>
                </c:pt>
                <c:pt idx="16">
                  <c:v>26.649245373580076</c:v>
                </c:pt>
                <c:pt idx="17">
                  <c:v>45.322482506845148</c:v>
                </c:pt>
                <c:pt idx="18">
                  <c:v>35.358903561732333</c:v>
                </c:pt>
                <c:pt idx="19">
                  <c:v>29.814719779150224</c:v>
                </c:pt>
              </c:numCache>
            </c:numRef>
          </c:val>
          <c:smooth val="0"/>
          <c:extLst>
            <c:ext xmlns:c16="http://schemas.microsoft.com/office/drawing/2014/chart" uri="{C3380CC4-5D6E-409C-BE32-E72D297353CC}">
              <c16:uniqueId val="{00000003-3DB4-42A5-829A-E652E425C501}"/>
            </c:ext>
          </c:extLst>
        </c:ser>
        <c:dLbls>
          <c:showLegendKey val="0"/>
          <c:showVal val="0"/>
          <c:showCatName val="0"/>
          <c:showSerName val="0"/>
          <c:showPercent val="0"/>
          <c:showBubbleSize val="0"/>
        </c:dLbls>
        <c:marker val="1"/>
        <c:smooth val="0"/>
        <c:axId val="1076855919"/>
        <c:axId val="1069723167"/>
      </c:lineChart>
      <c:catAx>
        <c:axId val="10728456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69734399"/>
        <c:crosses val="autoZero"/>
        <c:auto val="1"/>
        <c:lblAlgn val="ctr"/>
        <c:lblOffset val="100"/>
        <c:noMultiLvlLbl val="0"/>
      </c:catAx>
      <c:valAx>
        <c:axId val="10697343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72845631"/>
        <c:crosses val="autoZero"/>
        <c:crossBetween val="between"/>
      </c:valAx>
      <c:valAx>
        <c:axId val="1069723167"/>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76855919"/>
        <c:crosses val="max"/>
        <c:crossBetween val="between"/>
      </c:valAx>
      <c:catAx>
        <c:axId val="1076855919"/>
        <c:scaling>
          <c:orientation val="minMax"/>
        </c:scaling>
        <c:delete val="1"/>
        <c:axPos val="b"/>
        <c:numFmt formatCode="General" sourceLinked="1"/>
        <c:majorTickMark val="out"/>
        <c:minorTickMark val="none"/>
        <c:tickLblPos val="nextTo"/>
        <c:crossAx val="10697231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DA6C6B0C1A2D46B2B547E52D87BFCD" ma:contentTypeVersion="14" ma:contentTypeDescription="Creare un nuovo documento." ma:contentTypeScope="" ma:versionID="01092ce0d29692a5e39dc0343f9835bb">
  <xsd:schema xmlns:xsd="http://www.w3.org/2001/XMLSchema" xmlns:xs="http://www.w3.org/2001/XMLSchema" xmlns:p="http://schemas.microsoft.com/office/2006/metadata/properties" xmlns:ns3="113f169b-b121-4a0d-9e83-2e8f862fe0af" xmlns:ns4="cdc64a4d-039f-489f-9f95-13a7c665f3ae" targetNamespace="http://schemas.microsoft.com/office/2006/metadata/properties" ma:root="true" ma:fieldsID="8c0828dea504dd5416667853363cce34" ns3:_="" ns4:_="">
    <xsd:import namespace="113f169b-b121-4a0d-9e83-2e8f862fe0af"/>
    <xsd:import namespace="cdc64a4d-039f-489f-9f95-13a7c665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f169b-b121-4a0d-9e83-2e8f862fe0a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64a4d-039f-489f-9f95-13a7c665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70197-3789-4980-8EA9-981FF511EF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C57CA6-0564-45C9-AA09-C362F20063F1}">
  <ds:schemaRefs>
    <ds:schemaRef ds:uri="http://schemas.microsoft.com/sharepoint/v3/contenttype/forms"/>
  </ds:schemaRefs>
</ds:datastoreItem>
</file>

<file path=customXml/itemProps3.xml><?xml version="1.0" encoding="utf-8"?>
<ds:datastoreItem xmlns:ds="http://schemas.openxmlformats.org/officeDocument/2006/customXml" ds:itemID="{57DCD093-4C91-4B57-919B-2AE1ABAC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f169b-b121-4a0d-9e83-2e8f862fe0af"/>
    <ds:schemaRef ds:uri="cdc64a4d-039f-489f-9f95-13a7c665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5109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Salemi</dc:creator>
  <cp:keywords/>
  <dc:description/>
  <cp:lastModifiedBy>Gentile Laura</cp:lastModifiedBy>
  <cp:revision>4</cp:revision>
  <cp:lastPrinted>2021-11-09T16:11:00Z</cp:lastPrinted>
  <dcterms:created xsi:type="dcterms:W3CDTF">2021-11-15T15:08:00Z</dcterms:created>
  <dcterms:modified xsi:type="dcterms:W3CDTF">2021-11-17T08:55:00Z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0x01010081DA6C6B0C1A2D46B2B547E52D87BFCD</vt:lpwstr>
  </property>
</Properties>
</file>