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52FB" w14:textId="77777777" w:rsidR="004B4D10" w:rsidRDefault="00547F07">
      <w:pPr>
        <w:pStyle w:val="Titolo"/>
      </w:pPr>
      <w:r>
        <w:rPr>
          <w:i w:val="0"/>
        </w:rPr>
        <w:t>Modulo</w:t>
      </w:r>
      <w:r>
        <w:rPr>
          <w:i w:val="0"/>
          <w:spacing w:val="-2"/>
        </w:rPr>
        <w:t xml:space="preserve"> </w:t>
      </w:r>
      <w:r>
        <w:rPr>
          <w:i w:val="0"/>
        </w:rPr>
        <w:t>20c1-2</w:t>
      </w:r>
      <w:r>
        <w:rPr>
          <w:i w:val="0"/>
          <w:spacing w:val="-1"/>
        </w:rPr>
        <w:t xml:space="preserve"> </w:t>
      </w:r>
      <w:r>
        <w:t>Inconferibilità,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</w:p>
    <w:p w14:paraId="621952FC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2FD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2FE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2FF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300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301" w14:textId="77777777" w:rsidR="004B4D10" w:rsidRDefault="004B4D10">
      <w:pPr>
        <w:pStyle w:val="Corpotesto"/>
        <w:rPr>
          <w:rFonts w:ascii="Arial"/>
          <w:i/>
          <w:sz w:val="24"/>
        </w:rPr>
      </w:pPr>
    </w:p>
    <w:p w14:paraId="62195302" w14:textId="77777777" w:rsidR="004B4D10" w:rsidRDefault="004B4D10">
      <w:pPr>
        <w:pStyle w:val="Corpotesto"/>
        <w:spacing w:before="111"/>
        <w:rPr>
          <w:rFonts w:ascii="Arial"/>
          <w:i/>
          <w:sz w:val="24"/>
        </w:rPr>
      </w:pPr>
    </w:p>
    <w:p w14:paraId="5796BC1A" w14:textId="77777777" w:rsidR="00F90122" w:rsidRPr="0069031B" w:rsidRDefault="00547F07" w:rsidP="0069031B">
      <w:pPr>
        <w:spacing w:after="160"/>
        <w:jc w:val="center"/>
        <w:rPr>
          <w:b/>
          <w:bCs/>
        </w:rPr>
      </w:pPr>
      <w:r w:rsidRPr="0069031B">
        <w:rPr>
          <w:b/>
          <w:bCs/>
        </w:rPr>
        <w:t>DICHIARAZIONE</w:t>
      </w:r>
    </w:p>
    <w:p w14:paraId="62195303" w14:textId="54C7A72F" w:rsidR="004B4D10" w:rsidRPr="0069031B" w:rsidRDefault="00547F07" w:rsidP="0069031B">
      <w:pPr>
        <w:jc w:val="both"/>
        <w:rPr>
          <w:b/>
          <w:bCs/>
        </w:rPr>
      </w:pPr>
      <w:r w:rsidRPr="0069031B">
        <w:rPr>
          <w:b/>
          <w:bCs/>
        </w:rPr>
        <w:t>sostitutiva di atto di notorietà in forma di autocertificazione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relativa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alla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insussistenza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di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cause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di</w:t>
      </w:r>
      <w:r w:rsidRPr="0069031B">
        <w:rPr>
          <w:b/>
          <w:bCs/>
          <w:spacing w:val="40"/>
        </w:rPr>
        <w:t xml:space="preserve"> </w:t>
      </w:r>
      <w:r w:rsidR="00F90122" w:rsidRPr="0069031B">
        <w:rPr>
          <w:b/>
          <w:bCs/>
        </w:rPr>
        <w:t>I</w:t>
      </w:r>
      <w:r w:rsidRPr="0069031B">
        <w:rPr>
          <w:b/>
          <w:bCs/>
        </w:rPr>
        <w:t>nconferibilità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>e</w:t>
      </w:r>
      <w:r w:rsidRPr="0069031B">
        <w:rPr>
          <w:b/>
          <w:bCs/>
          <w:spacing w:val="40"/>
        </w:rPr>
        <w:t xml:space="preserve"> </w:t>
      </w:r>
      <w:r w:rsidR="00F90122" w:rsidRPr="0069031B">
        <w:rPr>
          <w:b/>
          <w:bCs/>
        </w:rPr>
        <w:t>I</w:t>
      </w:r>
      <w:r w:rsidRPr="0069031B">
        <w:rPr>
          <w:b/>
          <w:bCs/>
        </w:rPr>
        <w:t>ncompatibilità</w:t>
      </w:r>
      <w:r w:rsidRPr="0069031B">
        <w:rPr>
          <w:b/>
          <w:bCs/>
          <w:spacing w:val="40"/>
        </w:rPr>
        <w:t xml:space="preserve"> </w:t>
      </w:r>
      <w:r w:rsidRPr="0069031B">
        <w:rPr>
          <w:b/>
          <w:bCs/>
        </w:rPr>
        <w:t xml:space="preserve">e attestazione di assenza </w:t>
      </w:r>
      <w:r w:rsidR="00F90122" w:rsidRPr="0069031B">
        <w:rPr>
          <w:b/>
          <w:bCs/>
        </w:rPr>
        <w:t>C</w:t>
      </w:r>
      <w:r w:rsidRPr="0069031B">
        <w:rPr>
          <w:b/>
          <w:bCs/>
        </w:rPr>
        <w:t>onflitto di interesse</w:t>
      </w:r>
    </w:p>
    <w:p w14:paraId="508215F7" w14:textId="77777777" w:rsidR="0069031B" w:rsidRDefault="0069031B" w:rsidP="0069031B">
      <w:pPr>
        <w:jc w:val="both"/>
      </w:pPr>
    </w:p>
    <w:p w14:paraId="4891C99B" w14:textId="77777777" w:rsidR="003B0463" w:rsidRDefault="00547F07" w:rsidP="00AC4CB3">
      <w:pPr>
        <w:spacing w:before="120" w:after="120"/>
        <w:jc w:val="both"/>
        <w:rPr>
          <w:spacing w:val="-10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67"/>
        </w:rPr>
        <w:t xml:space="preserve"> </w:t>
      </w:r>
      <w:r>
        <w:rPr>
          <w:u w:val="single"/>
        </w:rPr>
        <w:tab/>
      </w:r>
      <w:r w:rsidR="0069031B">
        <w:rPr>
          <w:u w:val="single"/>
        </w:rPr>
        <w:t>_________________________________________________</w:t>
      </w:r>
      <w:r>
        <w:rPr>
          <w:spacing w:val="-10"/>
        </w:rPr>
        <w:t>,</w:t>
      </w:r>
      <w:r w:rsidR="008665C7">
        <w:rPr>
          <w:spacing w:val="-10"/>
        </w:rPr>
        <w:t xml:space="preserve"> </w:t>
      </w:r>
    </w:p>
    <w:p w14:paraId="2D4EDF65" w14:textId="45DCF437" w:rsidR="003B0463" w:rsidRDefault="008665C7" w:rsidP="00AC4CB3">
      <w:pPr>
        <w:spacing w:before="120" w:after="120"/>
        <w:jc w:val="both"/>
        <w:rPr>
          <w:rFonts w:ascii="Times New Roman" w:hAnsi="Times New Roman"/>
        </w:rPr>
      </w:pPr>
      <w:r>
        <w:rPr>
          <w:spacing w:val="-10"/>
        </w:rPr>
        <w:t>con riferimento all’incarico</w:t>
      </w:r>
      <w:r w:rsidR="00547F07">
        <w:rPr>
          <w:spacing w:val="-10"/>
        </w:rPr>
        <w:t xml:space="preserve"> </w:t>
      </w:r>
      <w:r w:rsidR="00547F07">
        <w:t>di</w:t>
      </w:r>
      <w:r>
        <w:t xml:space="preserve"> __________________________________________</w:t>
      </w:r>
      <w:r w:rsidR="00547F07">
        <w:rPr>
          <w:rFonts w:ascii="Times New Roman" w:hAnsi="Times New Roman"/>
        </w:rPr>
        <w:t xml:space="preserve"> </w:t>
      </w:r>
    </w:p>
    <w:p w14:paraId="454D5648" w14:textId="1EE75FB2" w:rsidR="003B0463" w:rsidRDefault="00547F07" w:rsidP="00AC4CB3">
      <w:pPr>
        <w:spacing w:before="120" w:after="120"/>
        <w:jc w:val="both"/>
      </w:pPr>
      <w:r>
        <w:t>dell’Istituto Nazionale per l’analisi delle politiche pubbliche (INAPP), consapevole delle</w:t>
      </w:r>
    </w:p>
    <w:p w14:paraId="62195304" w14:textId="42F3D2B6" w:rsidR="004B4D10" w:rsidRDefault="00547F07" w:rsidP="00AC4CB3">
      <w:pPr>
        <w:spacing w:before="120" w:after="120"/>
        <w:jc w:val="both"/>
      </w:pPr>
      <w:r>
        <w:t>sanzioni</w:t>
      </w:r>
      <w:r>
        <w:rPr>
          <w:spacing w:val="31"/>
        </w:rPr>
        <w:t xml:space="preserve"> </w:t>
      </w:r>
      <w:r>
        <w:t>penali</w:t>
      </w:r>
      <w:r>
        <w:rPr>
          <w:spacing w:val="31"/>
        </w:rPr>
        <w:t xml:space="preserve"> </w:t>
      </w:r>
      <w:r>
        <w:t>previste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normativa</w:t>
      </w:r>
      <w:r>
        <w:rPr>
          <w:spacing w:val="34"/>
        </w:rPr>
        <w:t xml:space="preserve"> </w:t>
      </w:r>
      <w:r>
        <w:t>vigente</w:t>
      </w:r>
      <w:r>
        <w:rPr>
          <w:spacing w:val="32"/>
        </w:rPr>
        <w:t xml:space="preserve"> </w:t>
      </w:r>
      <w:r>
        <w:t>e,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particolare,</w:t>
      </w:r>
      <w:r>
        <w:rPr>
          <w:spacing w:val="31"/>
        </w:rPr>
        <w:t xml:space="preserve"> </w:t>
      </w:r>
      <w:r>
        <w:t>dall’articolo</w:t>
      </w:r>
      <w:r>
        <w:rPr>
          <w:spacing w:val="32"/>
        </w:rPr>
        <w:t xml:space="preserve"> </w:t>
      </w:r>
      <w:r>
        <w:t>76</w:t>
      </w:r>
      <w:r>
        <w:rPr>
          <w:spacing w:val="33"/>
        </w:rPr>
        <w:t xml:space="preserve"> </w:t>
      </w:r>
      <w:r>
        <w:t>del</w:t>
      </w:r>
    </w:p>
    <w:p w14:paraId="62195305" w14:textId="77777777" w:rsidR="004B4D10" w:rsidRDefault="00547F07" w:rsidP="00AC4CB3">
      <w:pPr>
        <w:spacing w:before="120" w:after="120"/>
        <w:jc w:val="both"/>
      </w:pP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veritiere,</w:t>
      </w:r>
    </w:p>
    <w:p w14:paraId="62195306" w14:textId="77777777" w:rsidR="004B4D10" w:rsidRDefault="004B4D10" w:rsidP="0069031B">
      <w:pPr>
        <w:jc w:val="both"/>
      </w:pPr>
    </w:p>
    <w:p w14:paraId="62195307" w14:textId="77777777" w:rsidR="004B4D10" w:rsidRPr="003B0463" w:rsidRDefault="00547F07" w:rsidP="003B0463">
      <w:pPr>
        <w:jc w:val="center"/>
        <w:rPr>
          <w:b/>
          <w:bCs/>
        </w:rPr>
      </w:pPr>
      <w:r w:rsidRPr="003B0463">
        <w:rPr>
          <w:b/>
          <w:bCs/>
          <w:spacing w:val="-2"/>
        </w:rPr>
        <w:t>DICHIARA</w:t>
      </w:r>
    </w:p>
    <w:p w14:paraId="62195308" w14:textId="77777777" w:rsidR="004B4D10" w:rsidRDefault="004B4D10" w:rsidP="0069031B">
      <w:pPr>
        <w:jc w:val="both"/>
      </w:pPr>
    </w:p>
    <w:p w14:paraId="62195309" w14:textId="4EB6D226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 xml:space="preserve">di non trovarsi in alcuna delle condizioni di </w:t>
      </w:r>
      <w:r w:rsidR="00F9354B" w:rsidRPr="00F9354B">
        <w:rPr>
          <w:b/>
          <w:bCs/>
        </w:rPr>
        <w:t>I</w:t>
      </w:r>
      <w:r w:rsidRPr="00F9354B">
        <w:rPr>
          <w:b/>
          <w:bCs/>
        </w:rPr>
        <w:t>nconferibilità</w:t>
      </w:r>
      <w:r>
        <w:t xml:space="preserve"> previste dal </w:t>
      </w:r>
      <w:r w:rsidR="00816A9A">
        <w:t>D</w:t>
      </w:r>
      <w:r>
        <w:t xml:space="preserve">ecreto </w:t>
      </w:r>
      <w:r w:rsidR="00816A9A">
        <w:t>L</w:t>
      </w:r>
      <w:r>
        <w:t>egislativo 8 aprile 2013, n. 39</w:t>
      </w:r>
      <w:r w:rsidR="00E631AC">
        <w:t>, art.</w:t>
      </w:r>
      <w:r w:rsidR="00D26FF3">
        <w:t xml:space="preserve"> 20, comma. 1</w:t>
      </w:r>
      <w:r>
        <w:t>;</w:t>
      </w:r>
    </w:p>
    <w:p w14:paraId="6219530A" w14:textId="0ED75B1B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 xml:space="preserve">di non trovarsi in alcuna delle condizioni di </w:t>
      </w:r>
      <w:r w:rsidR="00F9354B">
        <w:rPr>
          <w:b/>
          <w:bCs/>
        </w:rPr>
        <w:t>I</w:t>
      </w:r>
      <w:r w:rsidRPr="00F9354B">
        <w:rPr>
          <w:b/>
          <w:bCs/>
        </w:rPr>
        <w:t>ncompatibilità</w:t>
      </w:r>
      <w:r>
        <w:t xml:space="preserve"> di incarichi di cui al </w:t>
      </w:r>
      <w:r w:rsidR="00816A9A">
        <w:t>D</w:t>
      </w:r>
      <w:r>
        <w:t xml:space="preserve">ecreto </w:t>
      </w:r>
      <w:r w:rsidR="00816A9A">
        <w:t>L</w:t>
      </w:r>
      <w:r>
        <w:t>egislativo 8 aprile 2013, n. 39</w:t>
      </w:r>
      <w:r w:rsidR="00D26FF3">
        <w:t>, art. 20, comma. 2</w:t>
      </w:r>
      <w:r>
        <w:t>;</w:t>
      </w:r>
    </w:p>
    <w:p w14:paraId="6219530B" w14:textId="746DC67F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 xml:space="preserve">l’insussistenza di situazioni, anche potenziali, di </w:t>
      </w:r>
      <w:r w:rsidR="00F9354B">
        <w:rPr>
          <w:b/>
          <w:bCs/>
        </w:rPr>
        <w:t>C</w:t>
      </w:r>
      <w:r w:rsidRPr="00F9354B">
        <w:rPr>
          <w:b/>
          <w:bCs/>
        </w:rPr>
        <w:t>onflitto di interessi</w:t>
      </w:r>
      <w:r>
        <w:t xml:space="preserve"> con l’Istituto nazionale per l’analisi delle politiche pubbliche (INAPP);</w:t>
      </w:r>
    </w:p>
    <w:p w14:paraId="6219530C" w14:textId="77777777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>di</w:t>
      </w:r>
      <w:r w:rsidRPr="00816A9A">
        <w:rPr>
          <w:spacing w:val="-2"/>
        </w:rPr>
        <w:t xml:space="preserve"> </w:t>
      </w:r>
      <w:r>
        <w:t xml:space="preserve">aver piena cognizione del </w:t>
      </w:r>
      <w:r w:rsidRPr="00F9354B">
        <w:rPr>
          <w:b/>
          <w:bCs/>
        </w:rPr>
        <w:t>Codice di</w:t>
      </w:r>
      <w:r w:rsidRPr="00F9354B">
        <w:rPr>
          <w:b/>
          <w:bCs/>
          <w:spacing w:val="-1"/>
        </w:rPr>
        <w:t xml:space="preserve"> </w:t>
      </w:r>
      <w:r w:rsidRPr="00F9354B">
        <w:rPr>
          <w:b/>
          <w:bCs/>
        </w:rPr>
        <w:t>comportamento</w:t>
      </w:r>
      <w:r>
        <w:t xml:space="preserve"> dei</w:t>
      </w:r>
      <w:r w:rsidRPr="00816A9A">
        <w:rPr>
          <w:spacing w:val="-2"/>
        </w:rPr>
        <w:t xml:space="preserve"> </w:t>
      </w:r>
      <w:r>
        <w:t>dipendenti</w:t>
      </w:r>
      <w:r w:rsidRPr="00816A9A">
        <w:rPr>
          <w:spacing w:val="-2"/>
        </w:rPr>
        <w:t xml:space="preserve"> </w:t>
      </w:r>
      <w:r>
        <w:t>pubblici (D.P.R. 16 aprile 2013, n. 62) e di aver preso visione del Codice di comportamento adottato in INAPP;</w:t>
      </w:r>
    </w:p>
    <w:p w14:paraId="6219530D" w14:textId="2E642EA3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>di essere informato/a che, ai sensi dell’art. 20, comma 3, D.Lgs. n.</w:t>
      </w:r>
      <w:r w:rsidRPr="00816A9A">
        <w:rPr>
          <w:spacing w:val="40"/>
        </w:rPr>
        <w:t xml:space="preserve"> </w:t>
      </w:r>
      <w:r>
        <w:t xml:space="preserve">39/2013, la presente dichiarazione, sarà </w:t>
      </w:r>
      <w:r w:rsidRPr="00753D56">
        <w:rPr>
          <w:b/>
          <w:bCs/>
        </w:rPr>
        <w:t>pubblicata sul sito istituzionale dell’INAPP</w:t>
      </w:r>
      <w:r>
        <w:t xml:space="preserve"> nella </w:t>
      </w:r>
      <w:r w:rsidR="00753D56">
        <w:t>s</w:t>
      </w:r>
      <w:r>
        <w:t xml:space="preserve">ezione </w:t>
      </w:r>
      <w:r w:rsidRPr="00D03973">
        <w:rPr>
          <w:i/>
          <w:iCs/>
          <w:u w:val="single"/>
        </w:rPr>
        <w:t>Amministrazione Trasparente</w:t>
      </w:r>
      <w:r w:rsidR="00753D56" w:rsidRPr="00D03973">
        <w:rPr>
          <w:u w:val="single"/>
        </w:rPr>
        <w:t xml:space="preserve"> (AT)</w:t>
      </w:r>
      <w:r>
        <w:t>;</w:t>
      </w:r>
    </w:p>
    <w:p w14:paraId="6219530E" w14:textId="77777777" w:rsidR="004B4D10" w:rsidRDefault="00547F07" w:rsidP="00816A9A">
      <w:pPr>
        <w:pStyle w:val="Paragrafoelenco"/>
        <w:numPr>
          <w:ilvl w:val="0"/>
          <w:numId w:val="2"/>
        </w:numPr>
        <w:spacing w:before="120" w:after="120"/>
      </w:pPr>
      <w:r>
        <w:t>di impegnarsi a comunicare tempestivamente all’INAPP l’eventuale insorgere</w:t>
      </w:r>
      <w:r w:rsidRPr="00816A9A">
        <w:rPr>
          <w:spacing w:val="40"/>
        </w:rPr>
        <w:t xml:space="preserve"> </w:t>
      </w:r>
      <w:r>
        <w:t>di taluna delle situazioni oggetto della presente dichiarazione.</w:t>
      </w:r>
    </w:p>
    <w:p w14:paraId="6219530F" w14:textId="77777777" w:rsidR="004B4D10" w:rsidRDefault="004B4D10" w:rsidP="0069031B">
      <w:pPr>
        <w:jc w:val="both"/>
      </w:pPr>
    </w:p>
    <w:p w14:paraId="6825245A" w14:textId="77777777" w:rsidR="00366A15" w:rsidRDefault="00366A15" w:rsidP="0069031B">
      <w:pPr>
        <w:pStyle w:val="Corpotesto"/>
        <w:tabs>
          <w:tab w:val="left" w:pos="1181"/>
          <w:tab w:val="left" w:pos="1560"/>
          <w:tab w:val="left" w:pos="2431"/>
          <w:tab w:val="left" w:pos="7194"/>
        </w:tabs>
        <w:ind w:left="113"/>
        <w:jc w:val="both"/>
      </w:pPr>
    </w:p>
    <w:p w14:paraId="62195310" w14:textId="1CD9BC9A" w:rsidR="004B4D10" w:rsidRDefault="008662A1" w:rsidP="0069031B">
      <w:pPr>
        <w:pStyle w:val="Corpotesto"/>
        <w:tabs>
          <w:tab w:val="left" w:pos="1181"/>
          <w:tab w:val="left" w:pos="1560"/>
          <w:tab w:val="left" w:pos="2431"/>
          <w:tab w:val="left" w:pos="7194"/>
        </w:tabs>
        <w:ind w:left="113"/>
        <w:jc w:val="both"/>
      </w:pPr>
      <w:r>
        <w:t>Data</w:t>
      </w:r>
      <w:r w:rsidR="00547F07">
        <w:t xml:space="preserve">, </w:t>
      </w:r>
      <w:r w:rsidR="00547F07">
        <w:rPr>
          <w:u w:val="single"/>
        </w:rPr>
        <w:tab/>
      </w:r>
      <w:r w:rsidR="00547F07">
        <w:rPr>
          <w:u w:val="single"/>
        </w:rPr>
        <w:tab/>
      </w:r>
      <w:r>
        <w:rPr>
          <w:spacing w:val="-10"/>
        </w:rPr>
        <w:t>_______</w:t>
      </w:r>
      <w:r w:rsidR="00547F07">
        <w:tab/>
      </w:r>
      <w:r>
        <w:t>Firma</w:t>
      </w:r>
      <w:r>
        <w:rPr>
          <w:rStyle w:val="Rimandonotaapidipagina"/>
        </w:rPr>
        <w:footnoteReference w:id="1"/>
      </w:r>
    </w:p>
    <w:p w14:paraId="62195311" w14:textId="77777777" w:rsidR="004B4D10" w:rsidRDefault="004B4D10" w:rsidP="0069031B">
      <w:pPr>
        <w:pStyle w:val="Corpotesto"/>
        <w:jc w:val="both"/>
        <w:rPr>
          <w:sz w:val="20"/>
        </w:rPr>
      </w:pPr>
    </w:p>
    <w:p w14:paraId="62195312" w14:textId="77777777" w:rsidR="004B4D10" w:rsidRDefault="004B4D10" w:rsidP="0069031B">
      <w:pPr>
        <w:pStyle w:val="Corpotesto"/>
        <w:jc w:val="both"/>
        <w:rPr>
          <w:sz w:val="20"/>
        </w:rPr>
      </w:pPr>
    </w:p>
    <w:p w14:paraId="62195313" w14:textId="77777777" w:rsidR="004B4D10" w:rsidRDefault="00547F07" w:rsidP="0069031B">
      <w:pPr>
        <w:pStyle w:val="Corpotesto"/>
        <w:spacing w:before="2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195314" wp14:editId="62195315">
                <wp:simplePos x="0" y="0"/>
                <wp:positionH relativeFrom="page">
                  <wp:posOffset>4316857</wp:posOffset>
                </wp:positionH>
                <wp:positionV relativeFrom="paragraph">
                  <wp:posOffset>187367</wp:posOffset>
                </wp:positionV>
                <wp:extent cx="2484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120">
                              <a:moveTo>
                                <a:pt x="0" y="0"/>
                              </a:moveTo>
                              <a:lnTo>
                                <a:pt x="24838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3C6F0" id="Graphic 1" o:spid="_x0000_s1026" style="position:absolute;margin-left:339.9pt;margin-top:14.75pt;width:19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" path="m,l2483890,e" filled="f" strokeweight=".22978mm">
                <v:path arrowok="t"/>
                <w10:wrap type="topAndBottom" anchorx="page"/>
              </v:shape>
            </w:pict>
          </mc:Fallback>
        </mc:AlternateContent>
      </w:r>
    </w:p>
    <w:sectPr w:rsidR="004B4D10" w:rsidSect="00366A15">
      <w:footerReference w:type="default" r:id="rId7"/>
      <w:type w:val="continuous"/>
      <w:pgSz w:w="11910" w:h="16840"/>
      <w:pgMar w:top="620" w:right="980" w:bottom="42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6DC2" w14:textId="77777777" w:rsidR="008662A1" w:rsidRDefault="008662A1" w:rsidP="008662A1">
      <w:r>
        <w:separator/>
      </w:r>
    </w:p>
  </w:endnote>
  <w:endnote w:type="continuationSeparator" w:id="0">
    <w:p w14:paraId="0AB7906B" w14:textId="77777777" w:rsidR="008662A1" w:rsidRDefault="008662A1" w:rsidP="008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8948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55E54E" w14:textId="77777777" w:rsidR="003373FF" w:rsidRDefault="003373FF" w:rsidP="003373FF">
            <w:pPr>
              <w:pStyle w:val="Pidipagina"/>
              <w:jc w:val="right"/>
            </w:pPr>
          </w:p>
          <w:p w14:paraId="710C929C" w14:textId="77777777" w:rsidR="003373FF" w:rsidRDefault="003373FF" w:rsidP="003373FF">
            <w:pPr>
              <w:pStyle w:val="Pidipagina"/>
              <w:jc w:val="right"/>
            </w:pPr>
          </w:p>
          <w:p w14:paraId="440F97B6" w14:textId="0971E28B" w:rsidR="003373FF" w:rsidRDefault="003373FF" w:rsidP="003373FF">
            <w:pPr>
              <w:pStyle w:val="Pidipagina"/>
              <w:jc w:val="right"/>
            </w:pPr>
            <w:r w:rsidRPr="003373FF">
              <w:rPr>
                <w:rFonts w:ascii="Roboto" w:hAnsi="Roboto"/>
                <w:sz w:val="16"/>
                <w:szCs w:val="16"/>
              </w:rPr>
              <w:t xml:space="preserve">Pag. </w: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3373FF">
              <w:rPr>
                <w:rFonts w:ascii="Roboto" w:hAnsi="Roboto"/>
                <w:sz w:val="16"/>
                <w:szCs w:val="16"/>
              </w:rPr>
              <w:t xml:space="preserve"> </w:t>
            </w:r>
            <w:r>
              <w:rPr>
                <w:rFonts w:ascii="Roboto" w:hAnsi="Roboto"/>
                <w:sz w:val="16"/>
                <w:szCs w:val="16"/>
              </w:rPr>
              <w:t>di</w:t>
            </w:r>
            <w:r w:rsidRPr="003373FF">
              <w:rPr>
                <w:rFonts w:ascii="Roboto" w:hAnsi="Roboto"/>
                <w:sz w:val="16"/>
                <w:szCs w:val="16"/>
              </w:rPr>
              <w:t xml:space="preserve"> </w: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t>2</w:t>
            </w:r>
            <w:r w:rsidRPr="003373F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C98BEA" w14:textId="77777777" w:rsidR="003373FF" w:rsidRDefault="00337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44D5" w14:textId="77777777" w:rsidR="008662A1" w:rsidRDefault="008662A1" w:rsidP="008662A1">
      <w:r>
        <w:separator/>
      </w:r>
    </w:p>
  </w:footnote>
  <w:footnote w:type="continuationSeparator" w:id="0">
    <w:p w14:paraId="6850F5F3" w14:textId="77777777" w:rsidR="008662A1" w:rsidRDefault="008662A1" w:rsidP="008662A1">
      <w:r>
        <w:continuationSeparator/>
      </w:r>
    </w:p>
  </w:footnote>
  <w:footnote w:id="1">
    <w:p w14:paraId="571F267A" w14:textId="77777777" w:rsidR="00480181" w:rsidRPr="00B47229" w:rsidRDefault="00480181" w:rsidP="00480181">
      <w:pPr>
        <w:pStyle w:val="Testonotaapidipagina"/>
        <w:rPr>
          <w:sz w:val="14"/>
          <w:szCs w:val="14"/>
        </w:rPr>
      </w:pPr>
      <w:r w:rsidRPr="00B47229">
        <w:rPr>
          <w:rStyle w:val="Rimandonotaapidipagina"/>
          <w:sz w:val="14"/>
          <w:szCs w:val="14"/>
        </w:rPr>
        <w:footnoteRef/>
      </w:r>
      <w:r w:rsidRPr="00B47229">
        <w:rPr>
          <w:sz w:val="14"/>
          <w:szCs w:val="14"/>
        </w:rPr>
        <w:t xml:space="preserve">La firma può essere:   </w:t>
      </w:r>
    </w:p>
    <w:p w14:paraId="61140BCE" w14:textId="77777777" w:rsidR="00480181" w:rsidRPr="00B47229" w:rsidRDefault="00480181" w:rsidP="00480181">
      <w:pPr>
        <w:pStyle w:val="Testonotaapidipagina"/>
        <w:widowControl/>
        <w:numPr>
          <w:ilvl w:val="0"/>
          <w:numId w:val="3"/>
        </w:numPr>
        <w:autoSpaceDE/>
        <w:autoSpaceDN/>
        <w:rPr>
          <w:sz w:val="14"/>
          <w:szCs w:val="14"/>
        </w:rPr>
      </w:pPr>
      <w:r w:rsidRPr="00B47229">
        <w:rPr>
          <w:sz w:val="14"/>
          <w:szCs w:val="14"/>
        </w:rPr>
        <w:t>digitale (Cades o Pades) ai sensi dell’art. 7, Decreto Legislativo n. 82/2005;</w:t>
      </w:r>
    </w:p>
    <w:p w14:paraId="5915D6D8" w14:textId="77777777" w:rsidR="00480181" w:rsidRPr="008C6813" w:rsidRDefault="00480181" w:rsidP="00480181">
      <w:pPr>
        <w:pStyle w:val="Testonotaapidipagina"/>
        <w:widowControl/>
        <w:numPr>
          <w:ilvl w:val="0"/>
          <w:numId w:val="3"/>
        </w:numPr>
        <w:autoSpaceDE/>
        <w:autoSpaceDN/>
        <w:ind w:right="-142"/>
        <w:rPr>
          <w:sz w:val="14"/>
          <w:szCs w:val="14"/>
        </w:rPr>
      </w:pPr>
      <w:r w:rsidRPr="00B54CAE">
        <w:rPr>
          <w:sz w:val="14"/>
          <w:szCs w:val="14"/>
        </w:rPr>
        <w:t>autografa sostituita da indicazioni a mezzo stampa ai sensi dell’art. 3 co. 2, D.Lgs. n. 39/1993</w:t>
      </w:r>
      <w:r>
        <w:rPr>
          <w:sz w:val="14"/>
          <w:szCs w:val="14"/>
        </w:rPr>
        <w:br/>
      </w:r>
      <w:r w:rsidRPr="00B54CAE">
        <w:rPr>
          <w:sz w:val="14"/>
          <w:szCs w:val="14"/>
        </w:rPr>
        <w:t xml:space="preserve">(In caso di firma autografa, di persona </w:t>
      </w:r>
      <w:r w:rsidRPr="00B54CAE">
        <w:rPr>
          <w:b/>
          <w:bCs/>
          <w:sz w:val="14"/>
          <w:szCs w:val="14"/>
        </w:rPr>
        <w:t>non dipendente INAPP</w:t>
      </w:r>
      <w:r w:rsidRPr="00B54CAE">
        <w:rPr>
          <w:sz w:val="14"/>
          <w:szCs w:val="14"/>
        </w:rPr>
        <w:t>, allegare copia di un documento di identità in corso di validità).</w:t>
      </w:r>
    </w:p>
    <w:p w14:paraId="44D91EDB" w14:textId="263EED37" w:rsidR="008662A1" w:rsidRDefault="008662A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4C7"/>
    <w:multiLevelType w:val="hybridMultilevel"/>
    <w:tmpl w:val="CCE89782"/>
    <w:lvl w:ilvl="0" w:tplc="F970E9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CEB00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EC38B0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58121BE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70D64AA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994D84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FA672E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6CB6DEC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24E85EB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FD1045"/>
    <w:multiLevelType w:val="hybridMultilevel"/>
    <w:tmpl w:val="85768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4C63"/>
    <w:multiLevelType w:val="hybridMultilevel"/>
    <w:tmpl w:val="7766F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5207">
    <w:abstractNumId w:val="0"/>
  </w:num>
  <w:num w:numId="2" w16cid:durableId="59330868">
    <w:abstractNumId w:val="2"/>
  </w:num>
  <w:num w:numId="3" w16cid:durableId="60792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10"/>
    <w:rsid w:val="002F1B3A"/>
    <w:rsid w:val="003373FF"/>
    <w:rsid w:val="00366A15"/>
    <w:rsid w:val="003B0463"/>
    <w:rsid w:val="00480181"/>
    <w:rsid w:val="004B4D10"/>
    <w:rsid w:val="004E6136"/>
    <w:rsid w:val="00547F07"/>
    <w:rsid w:val="0069031B"/>
    <w:rsid w:val="00753D56"/>
    <w:rsid w:val="00816A9A"/>
    <w:rsid w:val="008662A1"/>
    <w:rsid w:val="008665C7"/>
    <w:rsid w:val="009A7E2C"/>
    <w:rsid w:val="00A272D6"/>
    <w:rsid w:val="00AC4CB3"/>
    <w:rsid w:val="00BF3BF7"/>
    <w:rsid w:val="00D03973"/>
    <w:rsid w:val="00D26FF3"/>
    <w:rsid w:val="00E631AC"/>
    <w:rsid w:val="00F90122"/>
    <w:rsid w:val="00F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52FB"/>
  <w15:docId w15:val="{ADB1EC3F-4C25-4747-89EA-B71CA8A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2753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62A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62A1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62A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37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3F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7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3FF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20c1-2 Dichiarazione inconferibilità, incompatibilità e conflitto interessi.</dc:title>
  <dc:creator>inapp;Verdino Daniela</dc:creator>
  <cp:keywords>Anticorruzione e Trasparenza</cp:keywords>
  <cp:lastModifiedBy>Verdino Daniela</cp:lastModifiedBy>
  <cp:revision>2</cp:revision>
  <dcterms:created xsi:type="dcterms:W3CDTF">2024-11-29T21:33:00Z</dcterms:created>
  <dcterms:modified xsi:type="dcterms:W3CDTF">2024-11-29T21:33:00Z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2010</vt:lpwstr>
  </property>
</Properties>
</file>