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55B79" w14:textId="2973CBA6" w:rsidR="00436E83" w:rsidRPr="00436E83" w:rsidRDefault="00436E83" w:rsidP="00436E83">
      <w:pPr>
        <w:tabs>
          <w:tab w:val="left" w:pos="3119"/>
        </w:tabs>
        <w:spacing w:after="240"/>
        <w:rPr>
          <w:rFonts w:ascii="Times New Roman" w:eastAsia="Times New Roman" w:hAnsi="Times New Roman"/>
          <w:b/>
          <w:spacing w:val="-10"/>
          <w:kern w:val="28"/>
          <w:sz w:val="32"/>
          <w:szCs w:val="32"/>
        </w:rPr>
      </w:pPr>
      <w:r w:rsidRPr="00436E83">
        <w:rPr>
          <w:rFonts w:ascii="Times New Roman" w:eastAsia="Times New Roman" w:hAnsi="Times New Roman"/>
          <w:b/>
          <w:spacing w:val="-10"/>
          <w:kern w:val="28"/>
          <w:sz w:val="32"/>
          <w:szCs w:val="32"/>
        </w:rPr>
        <w:t>ALLEGATO A_pubblicazione_scientifica_da_impaginare</w:t>
      </w:r>
    </w:p>
    <w:p w14:paraId="10F2DA92" w14:textId="126AAA1A" w:rsidR="00436E83" w:rsidRDefault="00436E83" w:rsidP="00436E83">
      <w:pPr>
        <w:tabs>
          <w:tab w:val="left" w:pos="3119"/>
        </w:tabs>
        <w:spacing w:after="240"/>
        <w:jc w:val="both"/>
        <w:rPr>
          <w:rFonts w:ascii="Times New Roman" w:eastAsia="Times New Roman" w:hAnsi="Times New Roman"/>
          <w:bCs/>
          <w:spacing w:val="-10"/>
          <w:kern w:val="28"/>
          <w:sz w:val="28"/>
          <w:szCs w:val="28"/>
        </w:rPr>
      </w:pPr>
      <w:r w:rsidRPr="00436E83">
        <w:rPr>
          <w:rFonts w:ascii="Times New Roman" w:eastAsia="Times New Roman" w:hAnsi="Times New Roman"/>
          <w:b/>
          <w:spacing w:val="-10"/>
          <w:kern w:val="28"/>
          <w:sz w:val="28"/>
          <w:szCs w:val="28"/>
        </w:rPr>
        <w:t>Istruzione</w:t>
      </w:r>
      <w:r>
        <w:rPr>
          <w:rFonts w:ascii="Times New Roman" w:eastAsia="Times New Roman" w:hAnsi="Times New Roman"/>
          <w:bCs/>
          <w:spacing w:val="-10"/>
          <w:kern w:val="28"/>
          <w:sz w:val="28"/>
          <w:szCs w:val="28"/>
        </w:rPr>
        <w:t xml:space="preserve">: </w:t>
      </w:r>
      <w:r w:rsidR="0021675F">
        <w:rPr>
          <w:rFonts w:ascii="Times New Roman" w:eastAsia="Times New Roman" w:hAnsi="Times New Roman"/>
          <w:bCs/>
          <w:spacing w:val="-10"/>
          <w:kern w:val="28"/>
          <w:sz w:val="28"/>
          <w:szCs w:val="28"/>
        </w:rPr>
        <w:t xml:space="preserve">Per </w:t>
      </w:r>
      <w:r w:rsidR="00AC01A2">
        <w:rPr>
          <w:rFonts w:ascii="Times New Roman" w:eastAsia="Times New Roman" w:hAnsi="Times New Roman"/>
          <w:bCs/>
          <w:spacing w:val="-10"/>
          <w:kern w:val="28"/>
          <w:sz w:val="28"/>
          <w:szCs w:val="28"/>
        </w:rPr>
        <w:t>l’impaginazione del</w:t>
      </w:r>
      <w:r w:rsidR="0021675F">
        <w:rPr>
          <w:rFonts w:ascii="Times New Roman" w:eastAsia="Times New Roman" w:hAnsi="Times New Roman"/>
          <w:bCs/>
          <w:spacing w:val="-10"/>
          <w:kern w:val="28"/>
          <w:sz w:val="28"/>
          <w:szCs w:val="28"/>
        </w:rPr>
        <w:t>la pubblicazione scientifica vengono forniti il testo qui di seguito, in formato word, da impagina</w:t>
      </w:r>
      <w:r w:rsidR="00AC01A2">
        <w:rPr>
          <w:rFonts w:ascii="Times New Roman" w:eastAsia="Times New Roman" w:hAnsi="Times New Roman"/>
          <w:bCs/>
          <w:spacing w:val="-10"/>
          <w:kern w:val="28"/>
          <w:sz w:val="28"/>
          <w:szCs w:val="28"/>
        </w:rPr>
        <w:t>re</w:t>
      </w:r>
      <w:r w:rsidR="0021675F">
        <w:rPr>
          <w:rFonts w:ascii="Times New Roman" w:eastAsia="Times New Roman" w:hAnsi="Times New Roman"/>
          <w:bCs/>
          <w:spacing w:val="-10"/>
          <w:kern w:val="28"/>
          <w:sz w:val="28"/>
          <w:szCs w:val="28"/>
        </w:rPr>
        <w:t xml:space="preserve"> su doppia colonna</w:t>
      </w:r>
      <w:r w:rsidR="00AC01A2">
        <w:rPr>
          <w:rFonts w:ascii="Times New Roman" w:eastAsia="Times New Roman" w:hAnsi="Times New Roman"/>
          <w:bCs/>
          <w:spacing w:val="-10"/>
          <w:kern w:val="28"/>
          <w:sz w:val="28"/>
          <w:szCs w:val="28"/>
        </w:rPr>
        <w:t>,</w:t>
      </w:r>
      <w:r w:rsidR="00E9079E">
        <w:rPr>
          <w:rFonts w:ascii="Times New Roman" w:eastAsia="Times New Roman" w:hAnsi="Times New Roman"/>
          <w:bCs/>
          <w:spacing w:val="-10"/>
          <w:kern w:val="28"/>
          <w:sz w:val="28"/>
          <w:szCs w:val="28"/>
        </w:rPr>
        <w:t xml:space="preserve"> </w:t>
      </w:r>
      <w:r w:rsidR="00AC01A2">
        <w:rPr>
          <w:rFonts w:ascii="Times New Roman" w:eastAsia="Times New Roman" w:hAnsi="Times New Roman"/>
          <w:bCs/>
          <w:spacing w:val="-10"/>
          <w:kern w:val="28"/>
          <w:sz w:val="28"/>
          <w:szCs w:val="28"/>
        </w:rPr>
        <w:t>e l</w:t>
      </w:r>
      <w:r w:rsidRPr="00436E83">
        <w:rPr>
          <w:rFonts w:ascii="Times New Roman" w:eastAsia="Times New Roman" w:hAnsi="Times New Roman"/>
          <w:bCs/>
          <w:spacing w:val="-10"/>
          <w:kern w:val="28"/>
          <w:sz w:val="28"/>
          <w:szCs w:val="28"/>
        </w:rPr>
        <w:t>e relative figure</w:t>
      </w:r>
      <w:r w:rsidR="00D63F74">
        <w:rPr>
          <w:rFonts w:ascii="Times New Roman" w:eastAsia="Times New Roman" w:hAnsi="Times New Roman"/>
          <w:bCs/>
          <w:spacing w:val="-10"/>
          <w:kern w:val="28"/>
          <w:sz w:val="28"/>
          <w:szCs w:val="28"/>
        </w:rPr>
        <w:t>,</w:t>
      </w:r>
      <w:r w:rsidRPr="00436E83">
        <w:rPr>
          <w:rFonts w:ascii="Times New Roman" w:eastAsia="Times New Roman" w:hAnsi="Times New Roman"/>
          <w:bCs/>
          <w:spacing w:val="-10"/>
          <w:kern w:val="28"/>
          <w:sz w:val="28"/>
          <w:szCs w:val="28"/>
        </w:rPr>
        <w:t xml:space="preserve"> da rilavorare</w:t>
      </w:r>
      <w:r w:rsidR="00D63F74">
        <w:rPr>
          <w:rFonts w:ascii="Times New Roman" w:eastAsia="Times New Roman" w:hAnsi="Times New Roman"/>
          <w:bCs/>
          <w:spacing w:val="-10"/>
          <w:kern w:val="28"/>
          <w:sz w:val="28"/>
          <w:szCs w:val="28"/>
        </w:rPr>
        <w:t>,</w:t>
      </w:r>
      <w:r w:rsidRPr="00436E83">
        <w:rPr>
          <w:rFonts w:ascii="Times New Roman" w:eastAsia="Times New Roman" w:hAnsi="Times New Roman"/>
          <w:bCs/>
          <w:spacing w:val="-10"/>
          <w:kern w:val="28"/>
          <w:sz w:val="28"/>
          <w:szCs w:val="28"/>
        </w:rPr>
        <w:t xml:space="preserve"> </w:t>
      </w:r>
      <w:r w:rsidR="00AC01A2">
        <w:rPr>
          <w:rFonts w:ascii="Times New Roman" w:eastAsia="Times New Roman" w:hAnsi="Times New Roman"/>
          <w:bCs/>
          <w:spacing w:val="-10"/>
          <w:kern w:val="28"/>
          <w:sz w:val="28"/>
          <w:szCs w:val="28"/>
        </w:rPr>
        <w:t>nel f</w:t>
      </w:r>
      <w:r w:rsidRPr="00436E83">
        <w:rPr>
          <w:rFonts w:ascii="Times New Roman" w:eastAsia="Times New Roman" w:hAnsi="Times New Roman"/>
          <w:bCs/>
          <w:spacing w:val="-10"/>
          <w:kern w:val="28"/>
          <w:sz w:val="28"/>
          <w:szCs w:val="28"/>
        </w:rPr>
        <w:t>ile origine in formato excel.</w:t>
      </w:r>
    </w:p>
    <w:p w14:paraId="5A0AD352" w14:textId="77777777" w:rsidR="00436E83" w:rsidRDefault="00436E83" w:rsidP="00055454">
      <w:pPr>
        <w:tabs>
          <w:tab w:val="left" w:pos="3119"/>
        </w:tabs>
        <w:spacing w:after="240"/>
        <w:rPr>
          <w:rFonts w:ascii="Times New Roman" w:eastAsia="Times New Roman" w:hAnsi="Times New Roman"/>
          <w:b/>
          <w:spacing w:val="-10"/>
          <w:kern w:val="28"/>
          <w:sz w:val="28"/>
          <w:szCs w:val="28"/>
        </w:rPr>
      </w:pPr>
    </w:p>
    <w:p w14:paraId="4C746C03" w14:textId="77777777" w:rsidR="00436E83" w:rsidRDefault="00436E83" w:rsidP="00055454">
      <w:pPr>
        <w:tabs>
          <w:tab w:val="left" w:pos="3119"/>
        </w:tabs>
        <w:spacing w:after="240"/>
        <w:rPr>
          <w:rFonts w:ascii="Times New Roman" w:eastAsia="Times New Roman" w:hAnsi="Times New Roman"/>
          <w:b/>
          <w:spacing w:val="-10"/>
          <w:kern w:val="28"/>
          <w:sz w:val="28"/>
          <w:szCs w:val="28"/>
        </w:rPr>
      </w:pPr>
    </w:p>
    <w:p w14:paraId="34E94831" w14:textId="6C59CF59" w:rsidR="001C4740" w:rsidRDefault="0029283D" w:rsidP="00055454">
      <w:pPr>
        <w:tabs>
          <w:tab w:val="left" w:pos="3119"/>
        </w:tabs>
        <w:spacing w:after="240"/>
        <w:rPr>
          <w:rFonts w:ascii="Times New Roman" w:eastAsia="Times New Roman" w:hAnsi="Times New Roman"/>
          <w:b/>
          <w:spacing w:val="-10"/>
          <w:kern w:val="28"/>
          <w:sz w:val="28"/>
          <w:szCs w:val="28"/>
        </w:rPr>
      </w:pPr>
      <w:r w:rsidRPr="00055454">
        <w:rPr>
          <w:rFonts w:ascii="Times New Roman" w:eastAsia="Times New Roman" w:hAnsi="Times New Roman"/>
          <w:b/>
          <w:spacing w:val="-10"/>
          <w:kern w:val="28"/>
          <w:sz w:val="28"/>
          <w:szCs w:val="28"/>
        </w:rPr>
        <w:t>Youth Employment Trajectories and Labour Market Reforms during the Great Recession in Europe</w:t>
      </w:r>
    </w:p>
    <w:p w14:paraId="29ADD680" w14:textId="4968D8AE" w:rsidR="008B5A4C" w:rsidRPr="008B5A4C" w:rsidRDefault="008B5A4C" w:rsidP="008B5A4C">
      <w:pPr>
        <w:tabs>
          <w:tab w:val="left" w:pos="3119"/>
        </w:tabs>
        <w:spacing w:after="160" w:line="259" w:lineRule="auto"/>
        <w:jc w:val="both"/>
        <w:rPr>
          <w:rFonts w:ascii="Times New Roman" w:hAnsi="Times New Roman"/>
          <w:smallCaps/>
          <w:sz w:val="28"/>
        </w:rPr>
      </w:pPr>
      <w:r w:rsidRPr="008B5A4C">
        <w:rPr>
          <w:rFonts w:ascii="Times New Roman" w:hAnsi="Times New Roman"/>
          <w:smallCaps/>
          <w:sz w:val="28"/>
        </w:rPr>
        <w:t>Gabriella Berloffa</w:t>
      </w:r>
      <w:r w:rsidR="00FA664C">
        <w:rPr>
          <w:rFonts w:ascii="Times New Roman" w:hAnsi="Times New Roman"/>
          <w:smallCaps/>
          <w:sz w:val="28"/>
        </w:rPr>
        <w:t xml:space="preserve"> (</w:t>
      </w:r>
      <w:r w:rsidR="00FA664C" w:rsidRPr="008B5A4C">
        <w:rPr>
          <w:rFonts w:ascii="Times New Roman" w:hAnsi="Times New Roman"/>
        </w:rPr>
        <w:t>University or Trento</w:t>
      </w:r>
      <w:r w:rsidR="00FA664C">
        <w:rPr>
          <w:rFonts w:ascii="Times New Roman" w:hAnsi="Times New Roman"/>
        </w:rPr>
        <w:t>)</w:t>
      </w:r>
      <w:r w:rsidRPr="008B5A4C">
        <w:rPr>
          <w:rFonts w:ascii="Times New Roman" w:hAnsi="Times New Roman"/>
          <w:smallCaps/>
          <w:sz w:val="28"/>
        </w:rPr>
        <w:t>, Alina Şandor</w:t>
      </w:r>
      <w:r w:rsidR="00FA664C">
        <w:rPr>
          <w:rFonts w:ascii="Times New Roman" w:hAnsi="Times New Roman"/>
          <w:smallCaps/>
          <w:sz w:val="28"/>
        </w:rPr>
        <w:t xml:space="preserve"> (</w:t>
      </w:r>
      <w:r w:rsidR="00FA664C">
        <w:rPr>
          <w:rFonts w:ascii="Times New Roman" w:hAnsi="Times New Roman"/>
        </w:rPr>
        <w:t xml:space="preserve">Joseph </w:t>
      </w:r>
      <w:r w:rsidR="00FA664C" w:rsidRPr="008B5A4C">
        <w:rPr>
          <w:rFonts w:ascii="Times New Roman" w:hAnsi="Times New Roman"/>
        </w:rPr>
        <w:t>Rowntree Foundation</w:t>
      </w:r>
      <w:r w:rsidR="00FA664C">
        <w:rPr>
          <w:rFonts w:ascii="Times New Roman" w:hAnsi="Times New Roman"/>
        </w:rPr>
        <w:t>)</w:t>
      </w:r>
      <w:r w:rsidRPr="008B5A4C">
        <w:rPr>
          <w:rFonts w:ascii="Times New Roman" w:hAnsi="Times New Roman"/>
          <w:smallCaps/>
          <w:sz w:val="28"/>
        </w:rPr>
        <w:t>, Mark Smith</w:t>
      </w:r>
      <w:r w:rsidR="00FA664C">
        <w:rPr>
          <w:rFonts w:ascii="Times New Roman" w:hAnsi="Times New Roman"/>
          <w:smallCaps/>
          <w:sz w:val="28"/>
        </w:rPr>
        <w:t xml:space="preserve"> (</w:t>
      </w:r>
      <w:r w:rsidR="00FA664C">
        <w:rPr>
          <w:rStyle w:val="lt-line-clampline"/>
          <w:rFonts w:ascii="Times New Roman" w:hAnsi="Times New Roman"/>
          <w:sz w:val="24"/>
          <w:szCs w:val="24"/>
          <w:bdr w:val="none" w:sz="0" w:space="0" w:color="auto" w:frame="1"/>
          <w:shd w:val="clear" w:color="auto" w:fill="FFFFFF"/>
        </w:rPr>
        <w:t xml:space="preserve">Grenoble Ecole de Management and </w:t>
      </w:r>
      <w:r w:rsidR="00FA664C" w:rsidRPr="008B5A4C">
        <w:rPr>
          <w:rFonts w:ascii="Times New Roman" w:hAnsi="Times New Roman"/>
        </w:rPr>
        <w:t>University of Stellenbosch Business School</w:t>
      </w:r>
      <w:r w:rsidR="00FA664C">
        <w:rPr>
          <w:rFonts w:ascii="Times New Roman" w:hAnsi="Times New Roman"/>
        </w:rPr>
        <w:t>)</w:t>
      </w:r>
      <w:r w:rsidR="00FA664C">
        <w:rPr>
          <w:rFonts w:ascii="Times New Roman" w:hAnsi="Times New Roman"/>
          <w:smallCaps/>
          <w:sz w:val="28"/>
        </w:rPr>
        <w:t xml:space="preserve">, </w:t>
      </w:r>
      <w:r w:rsidRPr="008B5A4C">
        <w:rPr>
          <w:rFonts w:ascii="Times New Roman" w:hAnsi="Times New Roman"/>
          <w:smallCaps/>
          <w:sz w:val="28"/>
        </w:rPr>
        <w:t>Paola Villa</w:t>
      </w:r>
      <w:r w:rsidR="00FA664C">
        <w:rPr>
          <w:rFonts w:ascii="Times New Roman" w:hAnsi="Times New Roman"/>
          <w:smallCaps/>
          <w:sz w:val="28"/>
        </w:rPr>
        <w:t xml:space="preserve"> (</w:t>
      </w:r>
      <w:r w:rsidR="00FA664C" w:rsidRPr="008B5A4C">
        <w:rPr>
          <w:rFonts w:ascii="Times New Roman" w:hAnsi="Times New Roman"/>
        </w:rPr>
        <w:t>University or Trento</w:t>
      </w:r>
      <w:r w:rsidR="00FA664C">
        <w:rPr>
          <w:rFonts w:ascii="Times New Roman" w:hAnsi="Times New Roman"/>
        </w:rPr>
        <w:t>)</w:t>
      </w:r>
    </w:p>
    <w:p w14:paraId="258A0661" w14:textId="1E29CC4D" w:rsidR="008B5A4C" w:rsidRDefault="001340C0" w:rsidP="008B5A4C">
      <w:pPr>
        <w:spacing w:line="259" w:lineRule="auto"/>
        <w:jc w:val="both"/>
        <w:rPr>
          <w:rFonts w:ascii="Times New Roman" w:hAnsi="Times New Roman"/>
        </w:rPr>
      </w:pPr>
      <w:r>
        <w:rPr>
          <w:rFonts w:ascii="Times New Roman" w:hAnsi="Times New Roman"/>
        </w:rPr>
        <w:t>Abstract</w:t>
      </w:r>
    </w:p>
    <w:p w14:paraId="5D5CB3BD" w14:textId="77777777" w:rsidR="00477DB0" w:rsidRDefault="008B5A4C" w:rsidP="00477DB0">
      <w:pPr>
        <w:pStyle w:val="Testocommento"/>
        <w:jc w:val="both"/>
      </w:pPr>
      <w:r>
        <w:rPr>
          <w:rFonts w:ascii="Times New Roman" w:hAnsi="Times New Roman"/>
        </w:rPr>
        <w:t>[</w:t>
      </w:r>
      <w:r w:rsidRPr="00BB2421">
        <w:rPr>
          <w:rFonts w:ascii="Times New Roman" w:hAnsi="Times New Roman"/>
          <w:b/>
        </w:rPr>
        <w:t>EN</w:t>
      </w:r>
      <w:r>
        <w:rPr>
          <w:rFonts w:ascii="Times New Roman" w:hAnsi="Times New Roman"/>
        </w:rPr>
        <w:t xml:space="preserve">] </w:t>
      </w:r>
      <w:r w:rsidR="00477DB0" w:rsidRPr="00477DB0">
        <w:rPr>
          <w:rFonts w:ascii="Times New Roman" w:eastAsia="Calibri" w:hAnsi="Times New Roman"/>
          <w:sz w:val="22"/>
          <w:szCs w:val="22"/>
        </w:rPr>
        <w:t>The Great Recession had profound consequences for the quantity and quality of work for young people in European countries. Usual labour market indicators capture only some crisis effects, highlighting the need for a more dynamic and nuanced approach. As a result, this paper adopts an innovative approach to both the analysis of the integration of young adults (aged 17-34) on to the labour market and the study of the relationship between the labour market performance and policy making.</w:t>
      </w:r>
    </w:p>
    <w:p w14:paraId="73729A5D" w14:textId="32630809" w:rsidR="008B5A4C" w:rsidRPr="00E803E3" w:rsidRDefault="008B5A4C" w:rsidP="005B6B07">
      <w:pPr>
        <w:pStyle w:val="Testocommento"/>
        <w:jc w:val="both"/>
        <w:rPr>
          <w:rFonts w:ascii="Times New Roman" w:hAnsi="Times New Roman"/>
          <w:sz w:val="22"/>
          <w:szCs w:val="22"/>
          <w:lang w:val="it-IT"/>
        </w:rPr>
      </w:pPr>
      <w:r>
        <w:rPr>
          <w:rFonts w:ascii="Times New Roman" w:hAnsi="Times New Roman"/>
          <w:lang w:val="it-IT"/>
        </w:rPr>
        <w:t>[</w:t>
      </w:r>
      <w:r w:rsidRPr="00E803E3">
        <w:rPr>
          <w:rFonts w:ascii="Times New Roman" w:hAnsi="Times New Roman"/>
          <w:b/>
          <w:lang w:val="it-IT"/>
        </w:rPr>
        <w:t>IT</w:t>
      </w:r>
      <w:r>
        <w:rPr>
          <w:rFonts w:ascii="Times New Roman" w:hAnsi="Times New Roman"/>
          <w:lang w:val="it-IT"/>
        </w:rPr>
        <w:t xml:space="preserve">] </w:t>
      </w:r>
      <w:r w:rsidR="005B6B07" w:rsidRPr="00E803E3">
        <w:rPr>
          <w:rFonts w:ascii="Times New Roman" w:hAnsi="Times New Roman"/>
          <w:sz w:val="22"/>
          <w:szCs w:val="22"/>
          <w:lang w:val="it-IT"/>
        </w:rPr>
        <w:t>La Grande Recessione generò un forte impatto sulla quantità e la qualità del lavoro dei giovani adulti nei paesi dell’Europa. Gli indicatori convenzionali del mercato del lavoro catturano solo alcuni degli effetti prodotti dalla crisi, sollecitando un approccio dinamico più variegato. Su questa strada si muove l’articolo, adottando un approccio innovativo sia all’analisi dell’integrazione dei giovani adulti (17-34 anni) nel mercato del lavoro sia allo studio della relazione tra le condizioni occupazionali e l’attività di riforma delle politiche del lavoro.</w:t>
      </w:r>
    </w:p>
    <w:p w14:paraId="5C2B152E" w14:textId="77777777" w:rsidR="005B6B07" w:rsidRPr="00E803E3" w:rsidRDefault="005B6B07" w:rsidP="005B6B07">
      <w:pPr>
        <w:pStyle w:val="Testocommento"/>
        <w:jc w:val="both"/>
        <w:rPr>
          <w:rFonts w:ascii="Times New Roman" w:hAnsi="Times New Roman"/>
          <w:lang w:val="it-IT"/>
        </w:rPr>
      </w:pPr>
    </w:p>
    <w:p w14:paraId="0E98D028" w14:textId="17765770" w:rsidR="008B5A4C" w:rsidRPr="00E61479" w:rsidRDefault="008B5A4C" w:rsidP="008B5A4C">
      <w:pPr>
        <w:spacing w:line="259" w:lineRule="auto"/>
        <w:jc w:val="both"/>
        <w:rPr>
          <w:rFonts w:ascii="Times New Roman" w:hAnsi="Times New Roman"/>
          <w:b/>
          <w:lang w:val="it-IT"/>
        </w:rPr>
      </w:pPr>
      <w:r w:rsidRPr="00E61479">
        <w:rPr>
          <w:rFonts w:ascii="Times New Roman" w:hAnsi="Times New Roman"/>
          <w:b/>
          <w:lang w:val="it-IT"/>
        </w:rPr>
        <w:t>Citazione</w:t>
      </w:r>
    </w:p>
    <w:p w14:paraId="3205336A" w14:textId="78919503" w:rsidR="008B5A4C" w:rsidRDefault="008B5A4C" w:rsidP="00E61479">
      <w:pPr>
        <w:tabs>
          <w:tab w:val="left" w:pos="3119"/>
        </w:tabs>
        <w:spacing w:after="240"/>
        <w:jc w:val="both"/>
        <w:rPr>
          <w:rFonts w:ascii="Times New Roman" w:hAnsi="Times New Roman"/>
        </w:rPr>
      </w:pPr>
      <w:r w:rsidRPr="00E61479">
        <w:rPr>
          <w:rFonts w:ascii="Times New Roman" w:hAnsi="Times New Roman"/>
        </w:rPr>
        <w:t xml:space="preserve">Berloffa G, Şandor A., Smith M., Villa P. (2021), </w:t>
      </w:r>
      <w:r w:rsidR="00E61479" w:rsidRPr="00E61479">
        <w:rPr>
          <w:rFonts w:ascii="Times New Roman" w:hAnsi="Times New Roman"/>
        </w:rPr>
        <w:t xml:space="preserve">Youth Employment Trajectories and Labour Market Reforms during the Great Recession in Europe, </w:t>
      </w:r>
      <w:r w:rsidRPr="001340C0">
        <w:rPr>
          <w:rFonts w:ascii="Times New Roman" w:hAnsi="Times New Roman"/>
          <w:i/>
          <w:iCs/>
        </w:rPr>
        <w:t>Sinappsi</w:t>
      </w:r>
      <w:r w:rsidRPr="00E61479">
        <w:rPr>
          <w:rFonts w:ascii="Times New Roman" w:hAnsi="Times New Roman"/>
        </w:rPr>
        <w:t>, X</w:t>
      </w:r>
      <w:r w:rsidR="00E61479" w:rsidRPr="00E61479">
        <w:rPr>
          <w:rFonts w:ascii="Times New Roman" w:hAnsi="Times New Roman"/>
        </w:rPr>
        <w:t>I</w:t>
      </w:r>
      <w:r w:rsidRPr="00E61479">
        <w:rPr>
          <w:rFonts w:ascii="Times New Roman" w:hAnsi="Times New Roman"/>
        </w:rPr>
        <w:t>, n.</w:t>
      </w:r>
      <w:r w:rsidR="00E61479" w:rsidRPr="00E61479">
        <w:rPr>
          <w:rFonts w:ascii="Times New Roman" w:hAnsi="Times New Roman"/>
        </w:rPr>
        <w:t>1</w:t>
      </w:r>
      <w:r w:rsidRPr="00E61479">
        <w:rPr>
          <w:rFonts w:ascii="Times New Roman" w:hAnsi="Times New Roman"/>
        </w:rPr>
        <w:t>, pp.</w:t>
      </w:r>
      <w:r w:rsidR="00E61479" w:rsidRPr="00E61479">
        <w:rPr>
          <w:rFonts w:ascii="Times New Roman" w:hAnsi="Times New Roman"/>
        </w:rPr>
        <w:t>xx-xx</w:t>
      </w:r>
    </w:p>
    <w:p w14:paraId="498EC615" w14:textId="055200BA" w:rsidR="00E61479" w:rsidRDefault="00E61479" w:rsidP="00E61479">
      <w:pPr>
        <w:spacing w:line="259" w:lineRule="auto"/>
        <w:jc w:val="both"/>
        <w:rPr>
          <w:rFonts w:ascii="Times New Roman" w:hAnsi="Times New Roman"/>
          <w:b/>
          <w:lang w:val="it-IT"/>
        </w:rPr>
      </w:pPr>
      <w:r w:rsidRPr="00E61479">
        <w:rPr>
          <w:rFonts w:ascii="Times New Roman" w:hAnsi="Times New Roman"/>
          <w:b/>
          <w:lang w:val="it-IT"/>
        </w:rPr>
        <w:t>Parole chiave</w:t>
      </w:r>
    </w:p>
    <w:p w14:paraId="756146BE" w14:textId="057FEC40" w:rsidR="00E61479" w:rsidRPr="005B6B07" w:rsidRDefault="00014EF8" w:rsidP="00E61479">
      <w:pPr>
        <w:spacing w:line="259" w:lineRule="auto"/>
        <w:jc w:val="both"/>
        <w:rPr>
          <w:rFonts w:ascii="Times New Roman" w:hAnsi="Times New Roman"/>
          <w:lang w:val="it-IT"/>
        </w:rPr>
      </w:pPr>
      <w:r>
        <w:rPr>
          <w:rFonts w:ascii="Times New Roman" w:hAnsi="Times New Roman"/>
          <w:lang w:val="it-IT"/>
        </w:rPr>
        <w:t>y</w:t>
      </w:r>
      <w:r w:rsidR="00E61479" w:rsidRPr="005B6B07">
        <w:rPr>
          <w:rFonts w:ascii="Times New Roman" w:hAnsi="Times New Roman"/>
          <w:lang w:val="it-IT"/>
        </w:rPr>
        <w:t>outh employment</w:t>
      </w:r>
      <w:r w:rsidR="00362B6A" w:rsidRPr="005B6B07">
        <w:rPr>
          <w:rFonts w:ascii="Times New Roman" w:hAnsi="Times New Roman"/>
          <w:lang w:val="it-IT"/>
        </w:rPr>
        <w:t xml:space="preserve"> / </w:t>
      </w:r>
      <w:r w:rsidR="008663EC" w:rsidRPr="005B6B07">
        <w:rPr>
          <w:rFonts w:ascii="Times New Roman" w:hAnsi="Times New Roman"/>
          <w:lang w:val="it-IT"/>
        </w:rPr>
        <w:t>o</w:t>
      </w:r>
      <w:r w:rsidR="00362B6A" w:rsidRPr="005B6B07">
        <w:rPr>
          <w:rFonts w:ascii="Times New Roman" w:hAnsi="Times New Roman"/>
          <w:lang w:val="it-IT"/>
        </w:rPr>
        <w:t>ccupazione giovanile</w:t>
      </w:r>
    </w:p>
    <w:p w14:paraId="2C389A62" w14:textId="4EC524C6" w:rsidR="00E61479" w:rsidRPr="005B6B07" w:rsidRDefault="00014EF8" w:rsidP="00E61479">
      <w:pPr>
        <w:spacing w:line="259" w:lineRule="auto"/>
        <w:jc w:val="both"/>
        <w:rPr>
          <w:rFonts w:ascii="Times New Roman" w:hAnsi="Times New Roman"/>
          <w:lang w:val="it-IT"/>
        </w:rPr>
      </w:pPr>
      <w:r>
        <w:rPr>
          <w:rFonts w:ascii="Times New Roman" w:hAnsi="Times New Roman"/>
          <w:lang w:val="it-IT"/>
        </w:rPr>
        <w:t>e</w:t>
      </w:r>
      <w:r w:rsidR="00E61479" w:rsidRPr="005B6B07">
        <w:rPr>
          <w:rFonts w:ascii="Times New Roman" w:hAnsi="Times New Roman"/>
          <w:lang w:val="it-IT"/>
        </w:rPr>
        <w:t>mployment policies</w:t>
      </w:r>
      <w:r w:rsidR="00362B6A" w:rsidRPr="005B6B07">
        <w:rPr>
          <w:rFonts w:ascii="Times New Roman" w:hAnsi="Times New Roman"/>
          <w:lang w:val="it-IT"/>
        </w:rPr>
        <w:t xml:space="preserve"> / </w:t>
      </w:r>
      <w:r w:rsidR="008663EC" w:rsidRPr="005B6B07">
        <w:rPr>
          <w:rFonts w:ascii="Times New Roman" w:hAnsi="Times New Roman"/>
          <w:lang w:val="it-IT"/>
        </w:rPr>
        <w:t>p</w:t>
      </w:r>
      <w:r w:rsidR="00362B6A" w:rsidRPr="005B6B07">
        <w:rPr>
          <w:rFonts w:ascii="Times New Roman" w:hAnsi="Times New Roman"/>
          <w:lang w:val="it-IT"/>
        </w:rPr>
        <w:t>olitiche dell’occupazione</w:t>
      </w:r>
    </w:p>
    <w:p w14:paraId="09AF82EB" w14:textId="62F981C0" w:rsidR="00494199" w:rsidRPr="00E61479" w:rsidRDefault="005B6B07" w:rsidP="00E61479">
      <w:pPr>
        <w:spacing w:line="259" w:lineRule="auto"/>
        <w:jc w:val="both"/>
        <w:rPr>
          <w:rFonts w:ascii="Times New Roman" w:hAnsi="Times New Roman"/>
          <w:lang w:val="it-IT"/>
        </w:rPr>
      </w:pPr>
      <w:r>
        <w:rPr>
          <w:rFonts w:ascii="Times New Roman" w:hAnsi="Times New Roman"/>
          <w:lang w:val="it-IT"/>
        </w:rPr>
        <w:t>e</w:t>
      </w:r>
      <w:r w:rsidR="00494199" w:rsidRPr="005B6B07">
        <w:rPr>
          <w:rFonts w:ascii="Times New Roman" w:hAnsi="Times New Roman"/>
          <w:lang w:val="it-IT"/>
        </w:rPr>
        <w:t>conomic recession</w:t>
      </w:r>
      <w:r w:rsidR="00362B6A" w:rsidRPr="005B6B07">
        <w:rPr>
          <w:rFonts w:ascii="Times New Roman" w:hAnsi="Times New Roman"/>
          <w:lang w:val="it-IT"/>
        </w:rPr>
        <w:t xml:space="preserve"> / </w:t>
      </w:r>
      <w:r w:rsidR="008663EC" w:rsidRPr="005B6B07">
        <w:rPr>
          <w:rFonts w:ascii="Times New Roman" w:hAnsi="Times New Roman"/>
          <w:lang w:val="it-IT"/>
        </w:rPr>
        <w:t>r</w:t>
      </w:r>
      <w:r w:rsidR="00362B6A" w:rsidRPr="005B6B07">
        <w:rPr>
          <w:rFonts w:ascii="Times New Roman" w:hAnsi="Times New Roman"/>
          <w:lang w:val="it-IT"/>
        </w:rPr>
        <w:t>ecessione economica</w:t>
      </w:r>
    </w:p>
    <w:p w14:paraId="3FB1003F" w14:textId="0C30D845" w:rsidR="00257E9E" w:rsidRPr="0075339C" w:rsidRDefault="0075339C" w:rsidP="0075339C">
      <w:pPr>
        <w:spacing w:before="240" w:after="120" w:line="300" w:lineRule="auto"/>
        <w:jc w:val="both"/>
        <w:rPr>
          <w:rFonts w:ascii="Times New Roman" w:hAnsi="Times New Roman"/>
          <w:b/>
          <w:sz w:val="24"/>
          <w:szCs w:val="24"/>
        </w:rPr>
      </w:pPr>
      <w:r w:rsidRPr="0075339C">
        <w:rPr>
          <w:rFonts w:ascii="Times New Roman" w:hAnsi="Times New Roman"/>
          <w:b/>
          <w:sz w:val="24"/>
          <w:szCs w:val="24"/>
        </w:rPr>
        <w:t>INTRODUCTION</w:t>
      </w:r>
    </w:p>
    <w:p w14:paraId="392D34AD" w14:textId="5C46B73B" w:rsidR="002A065A" w:rsidRPr="00347ABC" w:rsidRDefault="000F3B1B" w:rsidP="000F3B1B">
      <w:pPr>
        <w:spacing w:after="120" w:line="300" w:lineRule="auto"/>
        <w:jc w:val="both"/>
        <w:rPr>
          <w:rFonts w:ascii="Times New Roman" w:hAnsi="Times New Roman"/>
          <w:sz w:val="24"/>
          <w:szCs w:val="24"/>
        </w:rPr>
      </w:pPr>
      <w:r w:rsidRPr="000F3B1B">
        <w:rPr>
          <w:rFonts w:ascii="Times New Roman" w:hAnsi="Times New Roman"/>
          <w:sz w:val="24"/>
          <w:szCs w:val="24"/>
        </w:rPr>
        <w:t xml:space="preserve">The Great Recession had profound consequences for the quantity and quality of </w:t>
      </w:r>
      <w:r w:rsidR="009773E9">
        <w:rPr>
          <w:rFonts w:ascii="Times New Roman" w:hAnsi="Times New Roman"/>
          <w:sz w:val="24"/>
          <w:szCs w:val="24"/>
        </w:rPr>
        <w:t>employment</w:t>
      </w:r>
      <w:r w:rsidRPr="000F3B1B">
        <w:rPr>
          <w:rFonts w:ascii="Times New Roman" w:hAnsi="Times New Roman"/>
          <w:sz w:val="24"/>
          <w:szCs w:val="24"/>
        </w:rPr>
        <w:t xml:space="preserve"> for young people in European countries. At the same time, policy responses</w:t>
      </w:r>
      <w:r w:rsidR="0088430A">
        <w:rPr>
          <w:rFonts w:ascii="Times New Roman" w:hAnsi="Times New Roman"/>
          <w:sz w:val="24"/>
          <w:szCs w:val="24"/>
        </w:rPr>
        <w:t>, while numerous,</w:t>
      </w:r>
      <w:r w:rsidRPr="000F3B1B">
        <w:rPr>
          <w:rFonts w:ascii="Times New Roman" w:hAnsi="Times New Roman"/>
          <w:sz w:val="24"/>
          <w:szCs w:val="24"/>
        </w:rPr>
        <w:t xml:space="preserve"> were </w:t>
      </w:r>
      <w:r w:rsidR="0035693A">
        <w:rPr>
          <w:rFonts w:ascii="Times New Roman" w:hAnsi="Times New Roman"/>
          <w:sz w:val="24"/>
          <w:szCs w:val="24"/>
        </w:rPr>
        <w:t xml:space="preserve">not always </w:t>
      </w:r>
      <w:r w:rsidRPr="000F3B1B">
        <w:rPr>
          <w:rFonts w:ascii="Times New Roman" w:hAnsi="Times New Roman"/>
          <w:sz w:val="24"/>
          <w:szCs w:val="24"/>
        </w:rPr>
        <w:t xml:space="preserve">consistent, and </w:t>
      </w:r>
      <w:r w:rsidRPr="00347ABC">
        <w:rPr>
          <w:rFonts w:ascii="Times New Roman" w:hAnsi="Times New Roman"/>
          <w:sz w:val="24"/>
          <w:szCs w:val="24"/>
        </w:rPr>
        <w:t>at times incoherent</w:t>
      </w:r>
      <w:r w:rsidR="0035693A" w:rsidRPr="00347ABC">
        <w:rPr>
          <w:rFonts w:ascii="Times New Roman" w:hAnsi="Times New Roman"/>
          <w:sz w:val="24"/>
          <w:szCs w:val="24"/>
        </w:rPr>
        <w:t xml:space="preserve"> (O’Reilly</w:t>
      </w:r>
      <w:r w:rsidR="00347ABC" w:rsidRPr="00347ABC">
        <w:rPr>
          <w:rFonts w:ascii="Times New Roman" w:hAnsi="Times New Roman"/>
          <w:sz w:val="24"/>
          <w:szCs w:val="24"/>
        </w:rPr>
        <w:t>,</w:t>
      </w:r>
      <w:r w:rsidR="0035693A" w:rsidRPr="00347ABC">
        <w:rPr>
          <w:rFonts w:ascii="Times New Roman" w:hAnsi="Times New Roman"/>
          <w:sz w:val="24"/>
          <w:szCs w:val="24"/>
        </w:rPr>
        <w:t xml:space="preserve"> </w:t>
      </w:r>
      <w:r w:rsidR="00347ABC" w:rsidRPr="00347ABC">
        <w:rPr>
          <w:rFonts w:ascii="Times New Roman" w:hAnsi="Times New Roman"/>
          <w:color w:val="000000"/>
          <w:sz w:val="24"/>
          <w:szCs w:val="24"/>
        </w:rPr>
        <w:t xml:space="preserve">Leschke, Ortlieb, Seeleib-Kaiser and Villa </w:t>
      </w:r>
      <w:r w:rsidR="0035693A" w:rsidRPr="00347ABC">
        <w:rPr>
          <w:rFonts w:ascii="Times New Roman" w:hAnsi="Times New Roman"/>
          <w:sz w:val="24"/>
          <w:szCs w:val="24"/>
        </w:rPr>
        <w:t>2019)</w:t>
      </w:r>
      <w:r w:rsidRPr="00347ABC">
        <w:rPr>
          <w:rFonts w:ascii="Times New Roman" w:hAnsi="Times New Roman"/>
          <w:sz w:val="24"/>
          <w:szCs w:val="24"/>
        </w:rPr>
        <w:t xml:space="preserve">, demonstrating an on-going reliance on reducing employment protection and limiting income protection. </w:t>
      </w:r>
      <w:r w:rsidR="00F81F90" w:rsidRPr="00347ABC">
        <w:rPr>
          <w:rFonts w:ascii="Times New Roman" w:hAnsi="Times New Roman"/>
          <w:sz w:val="24"/>
          <w:szCs w:val="24"/>
        </w:rPr>
        <w:t>This paper propose</w:t>
      </w:r>
      <w:r w:rsidR="00BE06F0" w:rsidRPr="00347ABC">
        <w:rPr>
          <w:rFonts w:ascii="Times New Roman" w:hAnsi="Times New Roman"/>
          <w:sz w:val="24"/>
          <w:szCs w:val="24"/>
        </w:rPr>
        <w:t>s</w:t>
      </w:r>
      <w:r w:rsidR="00F81F90" w:rsidRPr="00347ABC">
        <w:rPr>
          <w:rFonts w:ascii="Times New Roman" w:hAnsi="Times New Roman"/>
          <w:sz w:val="24"/>
          <w:szCs w:val="24"/>
        </w:rPr>
        <w:t xml:space="preserve"> an analysis of the effects of </w:t>
      </w:r>
      <w:r w:rsidR="00F81F90" w:rsidRPr="00347ABC">
        <w:rPr>
          <w:rFonts w:ascii="Times New Roman" w:hAnsi="Times New Roman"/>
          <w:sz w:val="24"/>
          <w:szCs w:val="24"/>
        </w:rPr>
        <w:lastRenderedPageBreak/>
        <w:t>the severe economic downturn (during 2008-201</w:t>
      </w:r>
      <w:r w:rsidR="00D5425C" w:rsidRPr="00347ABC">
        <w:rPr>
          <w:rFonts w:ascii="Times New Roman" w:hAnsi="Times New Roman"/>
          <w:sz w:val="24"/>
          <w:szCs w:val="24"/>
        </w:rPr>
        <w:t>2</w:t>
      </w:r>
      <w:r w:rsidR="00F81F90" w:rsidRPr="00347ABC">
        <w:rPr>
          <w:rFonts w:ascii="Times New Roman" w:hAnsi="Times New Roman"/>
          <w:sz w:val="24"/>
          <w:szCs w:val="24"/>
        </w:rPr>
        <w:t xml:space="preserve">) </w:t>
      </w:r>
      <w:r w:rsidR="00BE06F0" w:rsidRPr="00347ABC">
        <w:rPr>
          <w:rFonts w:ascii="Times New Roman" w:hAnsi="Times New Roman"/>
          <w:sz w:val="24"/>
          <w:szCs w:val="24"/>
        </w:rPr>
        <w:t xml:space="preserve">on youth employment and on labour market policy making </w:t>
      </w:r>
      <w:r w:rsidR="007677F8" w:rsidRPr="00347ABC">
        <w:rPr>
          <w:rFonts w:ascii="Times New Roman" w:hAnsi="Times New Roman"/>
          <w:sz w:val="24"/>
          <w:szCs w:val="24"/>
        </w:rPr>
        <w:t>through</w:t>
      </w:r>
      <w:r w:rsidR="00F86C27" w:rsidRPr="00347ABC">
        <w:rPr>
          <w:rFonts w:ascii="Times New Roman" w:hAnsi="Times New Roman"/>
          <w:sz w:val="24"/>
          <w:szCs w:val="24"/>
        </w:rPr>
        <w:t xml:space="preserve"> a comparison with the </w:t>
      </w:r>
      <w:r w:rsidR="00BE06F0" w:rsidRPr="00347ABC">
        <w:rPr>
          <w:rFonts w:ascii="Times New Roman" w:hAnsi="Times New Roman"/>
          <w:sz w:val="24"/>
          <w:szCs w:val="24"/>
        </w:rPr>
        <w:t>period before the Great Recession.</w:t>
      </w:r>
    </w:p>
    <w:p w14:paraId="5FBD9EBB" w14:textId="6E56B59E" w:rsidR="00DD55BC" w:rsidRDefault="00DD55BC" w:rsidP="00DD55BC">
      <w:pPr>
        <w:spacing w:after="120" w:line="300" w:lineRule="auto"/>
        <w:jc w:val="both"/>
        <w:rPr>
          <w:rFonts w:ascii="Times New Roman" w:hAnsi="Times New Roman"/>
          <w:sz w:val="24"/>
          <w:szCs w:val="24"/>
        </w:rPr>
      </w:pPr>
      <w:r w:rsidRPr="00497186">
        <w:rPr>
          <w:rFonts w:ascii="Times New Roman" w:hAnsi="Times New Roman"/>
          <w:sz w:val="24"/>
          <w:szCs w:val="24"/>
        </w:rPr>
        <w:t xml:space="preserve">This paper </w:t>
      </w:r>
      <w:r w:rsidR="00690601" w:rsidRPr="00497186">
        <w:rPr>
          <w:rFonts w:ascii="Times New Roman" w:hAnsi="Times New Roman"/>
          <w:sz w:val="24"/>
          <w:szCs w:val="24"/>
        </w:rPr>
        <w:t xml:space="preserve">focuses on young </w:t>
      </w:r>
      <w:r w:rsidR="007E62D9" w:rsidRPr="00497186">
        <w:rPr>
          <w:rFonts w:ascii="Times New Roman" w:hAnsi="Times New Roman"/>
          <w:sz w:val="24"/>
          <w:szCs w:val="24"/>
        </w:rPr>
        <w:t>individuals aged 17-34, three to five years after leaving education, when the difficulties associated with the school-to-work transition should be overcome.</w:t>
      </w:r>
      <w:r w:rsidR="00690601" w:rsidRPr="00497186">
        <w:rPr>
          <w:rFonts w:ascii="Times New Roman" w:hAnsi="Times New Roman"/>
          <w:sz w:val="24"/>
          <w:szCs w:val="24"/>
        </w:rPr>
        <w:t xml:space="preserve"> We </w:t>
      </w:r>
      <w:r w:rsidRPr="00497186">
        <w:rPr>
          <w:rFonts w:ascii="Times New Roman" w:hAnsi="Times New Roman"/>
          <w:sz w:val="24"/>
          <w:szCs w:val="24"/>
        </w:rPr>
        <w:t>us</w:t>
      </w:r>
      <w:r w:rsidR="00690601" w:rsidRPr="00497186">
        <w:rPr>
          <w:rFonts w:ascii="Times New Roman" w:hAnsi="Times New Roman"/>
          <w:sz w:val="24"/>
          <w:szCs w:val="24"/>
        </w:rPr>
        <w:t>e</w:t>
      </w:r>
      <w:r w:rsidRPr="00497186">
        <w:rPr>
          <w:rFonts w:ascii="Times New Roman" w:hAnsi="Times New Roman"/>
          <w:sz w:val="24"/>
          <w:szCs w:val="24"/>
        </w:rPr>
        <w:t xml:space="preserve"> comparative European-wide data in order to explore the quality of their </w:t>
      </w:r>
      <w:r w:rsidR="007E62D9" w:rsidRPr="00497186">
        <w:rPr>
          <w:rFonts w:ascii="Times New Roman" w:hAnsi="Times New Roman"/>
          <w:sz w:val="24"/>
          <w:szCs w:val="24"/>
        </w:rPr>
        <w:t xml:space="preserve">(monthly) </w:t>
      </w:r>
      <w:r w:rsidRPr="00497186">
        <w:rPr>
          <w:rFonts w:ascii="Times New Roman" w:hAnsi="Times New Roman"/>
          <w:sz w:val="24"/>
          <w:szCs w:val="24"/>
        </w:rPr>
        <w:t xml:space="preserve">employment status trajectories, with particular attention to the dimensions </w:t>
      </w:r>
      <w:r w:rsidRPr="000F60E6">
        <w:rPr>
          <w:rFonts w:ascii="Times New Roman" w:hAnsi="Times New Roman"/>
          <w:sz w:val="24"/>
          <w:szCs w:val="24"/>
        </w:rPr>
        <w:t xml:space="preserve">of employment opportunities and security of work. The analysis of youth trajectories on the labour market is complemented by the analysis of </w:t>
      </w:r>
      <w:r>
        <w:rPr>
          <w:rFonts w:ascii="Times New Roman" w:hAnsi="Times New Roman"/>
          <w:sz w:val="24"/>
          <w:szCs w:val="24"/>
        </w:rPr>
        <w:t xml:space="preserve">labour market </w:t>
      </w:r>
      <w:r w:rsidRPr="000F60E6">
        <w:rPr>
          <w:rFonts w:ascii="Times New Roman" w:hAnsi="Times New Roman"/>
          <w:sz w:val="24"/>
          <w:szCs w:val="24"/>
        </w:rPr>
        <w:t xml:space="preserve">policy making </w:t>
      </w:r>
      <w:r>
        <w:rPr>
          <w:rFonts w:ascii="Times New Roman" w:hAnsi="Times New Roman"/>
          <w:sz w:val="24"/>
          <w:szCs w:val="24"/>
        </w:rPr>
        <w:t>in</w:t>
      </w:r>
      <w:r w:rsidRPr="000F60E6">
        <w:rPr>
          <w:rFonts w:ascii="Times New Roman" w:hAnsi="Times New Roman"/>
          <w:sz w:val="24"/>
          <w:szCs w:val="24"/>
        </w:rPr>
        <w:t xml:space="preserve"> the periods before and </w:t>
      </w:r>
      <w:r>
        <w:rPr>
          <w:rFonts w:ascii="Times New Roman" w:hAnsi="Times New Roman"/>
          <w:sz w:val="24"/>
          <w:szCs w:val="24"/>
        </w:rPr>
        <w:t>during</w:t>
      </w:r>
      <w:r w:rsidRPr="000F60E6">
        <w:rPr>
          <w:rFonts w:ascii="Times New Roman" w:hAnsi="Times New Roman"/>
          <w:sz w:val="24"/>
          <w:szCs w:val="24"/>
        </w:rPr>
        <w:t xml:space="preserve"> the Great Recession. </w:t>
      </w:r>
      <w:r>
        <w:rPr>
          <w:rFonts w:ascii="Times New Roman" w:hAnsi="Times New Roman"/>
          <w:sz w:val="24"/>
          <w:szCs w:val="24"/>
        </w:rPr>
        <w:t>In particular, we consider</w:t>
      </w:r>
      <w:r w:rsidRPr="00E0737F">
        <w:rPr>
          <w:rFonts w:ascii="Times New Roman" w:hAnsi="Times New Roman"/>
          <w:sz w:val="24"/>
          <w:szCs w:val="24"/>
        </w:rPr>
        <w:t xml:space="preserve"> </w:t>
      </w:r>
      <w:r>
        <w:rPr>
          <w:rFonts w:ascii="Times New Roman" w:hAnsi="Times New Roman"/>
          <w:sz w:val="24"/>
          <w:szCs w:val="24"/>
        </w:rPr>
        <w:t xml:space="preserve">the </w:t>
      </w:r>
      <w:r w:rsidR="0088430A">
        <w:rPr>
          <w:rFonts w:ascii="Times New Roman" w:hAnsi="Times New Roman"/>
          <w:sz w:val="24"/>
          <w:szCs w:val="24"/>
        </w:rPr>
        <w:t xml:space="preserve">intensity of </w:t>
      </w:r>
      <w:r w:rsidRPr="00E0737F">
        <w:rPr>
          <w:rFonts w:ascii="Times New Roman" w:hAnsi="Times New Roman"/>
          <w:sz w:val="24"/>
          <w:szCs w:val="24"/>
        </w:rPr>
        <w:t xml:space="preserve">policy </w:t>
      </w:r>
      <w:r w:rsidR="0088430A">
        <w:rPr>
          <w:rFonts w:ascii="Times New Roman" w:hAnsi="Times New Roman"/>
          <w:sz w:val="24"/>
          <w:szCs w:val="24"/>
        </w:rPr>
        <w:t>making</w:t>
      </w:r>
      <w:r w:rsidRPr="00E0737F">
        <w:rPr>
          <w:rFonts w:ascii="Times New Roman" w:hAnsi="Times New Roman"/>
          <w:sz w:val="24"/>
          <w:szCs w:val="24"/>
        </w:rPr>
        <w:t xml:space="preserve"> affecting the regulation of the labour market</w:t>
      </w:r>
      <w:r w:rsidR="00D5425C">
        <w:rPr>
          <w:rFonts w:ascii="Times New Roman" w:hAnsi="Times New Roman"/>
          <w:sz w:val="24"/>
          <w:szCs w:val="24"/>
        </w:rPr>
        <w:t xml:space="preserve"> in 25 </w:t>
      </w:r>
      <w:r w:rsidR="00226B63" w:rsidRPr="003135C3">
        <w:rPr>
          <w:rFonts w:ascii="Times New Roman" w:hAnsi="Times New Roman"/>
          <w:sz w:val="24"/>
          <w:szCs w:val="24"/>
        </w:rPr>
        <w:t>European</w:t>
      </w:r>
      <w:r w:rsidR="00D5425C" w:rsidRPr="003135C3">
        <w:rPr>
          <w:rFonts w:ascii="Times New Roman" w:hAnsi="Times New Roman"/>
          <w:sz w:val="24"/>
          <w:szCs w:val="24"/>
        </w:rPr>
        <w:t xml:space="preserve"> </w:t>
      </w:r>
      <w:r w:rsidR="00D5425C">
        <w:rPr>
          <w:rFonts w:ascii="Times New Roman" w:hAnsi="Times New Roman"/>
          <w:sz w:val="24"/>
          <w:szCs w:val="24"/>
        </w:rPr>
        <w:t>countries over the 2004-2012 period</w:t>
      </w:r>
      <w:r w:rsidRPr="00E0737F">
        <w:rPr>
          <w:rFonts w:ascii="Times New Roman" w:hAnsi="Times New Roman"/>
          <w:sz w:val="24"/>
          <w:szCs w:val="24"/>
        </w:rPr>
        <w:t>.</w:t>
      </w:r>
      <w:r w:rsidR="009244A2">
        <w:rPr>
          <w:rFonts w:ascii="Times New Roman" w:hAnsi="Times New Roman"/>
          <w:sz w:val="24"/>
          <w:szCs w:val="24"/>
        </w:rPr>
        <w:t xml:space="preserve"> </w:t>
      </w:r>
    </w:p>
    <w:p w14:paraId="087F49BF" w14:textId="61A29118" w:rsidR="00DD55BC" w:rsidRPr="00E86E0E" w:rsidRDefault="00DD55BC" w:rsidP="00DD55BC">
      <w:pPr>
        <w:spacing w:after="120" w:line="300" w:lineRule="auto"/>
        <w:jc w:val="both"/>
        <w:rPr>
          <w:rFonts w:ascii="Times New Roman" w:hAnsi="Times New Roman"/>
          <w:sz w:val="24"/>
          <w:szCs w:val="24"/>
        </w:rPr>
      </w:pPr>
      <w:r w:rsidRPr="00E86E0E">
        <w:rPr>
          <w:rFonts w:ascii="Times New Roman" w:hAnsi="Times New Roman"/>
          <w:sz w:val="24"/>
          <w:szCs w:val="24"/>
        </w:rPr>
        <w:t xml:space="preserve">The rest of the paper is organized as follows. Section </w:t>
      </w:r>
      <w:r w:rsidR="003429B2">
        <w:rPr>
          <w:rFonts w:ascii="Times New Roman" w:hAnsi="Times New Roman"/>
          <w:sz w:val="24"/>
          <w:szCs w:val="24"/>
        </w:rPr>
        <w:t>1</w:t>
      </w:r>
      <w:r w:rsidRPr="00E86E0E">
        <w:rPr>
          <w:rFonts w:ascii="Times New Roman" w:hAnsi="Times New Roman"/>
          <w:sz w:val="24"/>
          <w:szCs w:val="24"/>
        </w:rPr>
        <w:t xml:space="preserve"> reviews the relevant literature and discusses our research propositions. Section </w:t>
      </w:r>
      <w:r w:rsidR="003429B2">
        <w:rPr>
          <w:rFonts w:ascii="Times New Roman" w:hAnsi="Times New Roman"/>
          <w:sz w:val="24"/>
          <w:szCs w:val="24"/>
        </w:rPr>
        <w:t>2</w:t>
      </w:r>
      <w:r w:rsidRPr="00E86E0E">
        <w:rPr>
          <w:rFonts w:ascii="Times New Roman" w:hAnsi="Times New Roman"/>
          <w:sz w:val="24"/>
          <w:szCs w:val="24"/>
        </w:rPr>
        <w:t xml:space="preserve"> presents our data</w:t>
      </w:r>
      <w:r w:rsidR="007E5FD7">
        <w:rPr>
          <w:rFonts w:ascii="Times New Roman" w:hAnsi="Times New Roman"/>
          <w:sz w:val="24"/>
          <w:szCs w:val="24"/>
        </w:rPr>
        <w:t>sets</w:t>
      </w:r>
      <w:r w:rsidRPr="00E86E0E">
        <w:rPr>
          <w:rFonts w:ascii="Times New Roman" w:hAnsi="Times New Roman"/>
          <w:sz w:val="24"/>
          <w:szCs w:val="24"/>
        </w:rPr>
        <w:t xml:space="preserve"> and methodology. Section </w:t>
      </w:r>
      <w:r w:rsidR="003429B2">
        <w:rPr>
          <w:rFonts w:ascii="Times New Roman" w:hAnsi="Times New Roman"/>
          <w:sz w:val="24"/>
          <w:szCs w:val="24"/>
        </w:rPr>
        <w:t>3</w:t>
      </w:r>
      <w:r w:rsidRPr="00E86E0E">
        <w:rPr>
          <w:rFonts w:ascii="Times New Roman" w:hAnsi="Times New Roman"/>
          <w:sz w:val="24"/>
          <w:szCs w:val="24"/>
        </w:rPr>
        <w:t xml:space="preserve"> provides a descriptive analysis of the cross-country differences in the distribution of secure and insecure trajectories of young Europeans (aged 1</w:t>
      </w:r>
      <w:r w:rsidR="009773E9">
        <w:rPr>
          <w:rFonts w:ascii="Times New Roman" w:hAnsi="Times New Roman"/>
          <w:sz w:val="24"/>
          <w:szCs w:val="24"/>
        </w:rPr>
        <w:t>7</w:t>
      </w:r>
      <w:r w:rsidRPr="00E86E0E">
        <w:rPr>
          <w:rFonts w:ascii="Times New Roman" w:hAnsi="Times New Roman"/>
          <w:sz w:val="24"/>
          <w:szCs w:val="24"/>
        </w:rPr>
        <w:t xml:space="preserve">-34). Section </w:t>
      </w:r>
      <w:r w:rsidR="003429B2">
        <w:rPr>
          <w:rFonts w:ascii="Times New Roman" w:hAnsi="Times New Roman"/>
          <w:sz w:val="24"/>
          <w:szCs w:val="24"/>
        </w:rPr>
        <w:t>4</w:t>
      </w:r>
      <w:r w:rsidRPr="00E86E0E">
        <w:rPr>
          <w:rFonts w:ascii="Times New Roman" w:hAnsi="Times New Roman"/>
          <w:sz w:val="24"/>
          <w:szCs w:val="24"/>
        </w:rPr>
        <w:t xml:space="preserve"> describes the intensity of policy making </w:t>
      </w:r>
      <w:r w:rsidR="000276BB" w:rsidRPr="003135C3">
        <w:rPr>
          <w:rFonts w:ascii="Times New Roman" w:hAnsi="Times New Roman"/>
          <w:sz w:val="24"/>
          <w:szCs w:val="24"/>
        </w:rPr>
        <w:t xml:space="preserve">(i.e. </w:t>
      </w:r>
      <w:r w:rsidRPr="00E86E0E">
        <w:rPr>
          <w:rFonts w:ascii="Times New Roman" w:hAnsi="Times New Roman"/>
          <w:sz w:val="24"/>
          <w:szCs w:val="24"/>
        </w:rPr>
        <w:t>labour market reforms</w:t>
      </w:r>
      <w:r w:rsidR="000276BB">
        <w:rPr>
          <w:rFonts w:ascii="Times New Roman" w:hAnsi="Times New Roman"/>
          <w:sz w:val="24"/>
          <w:szCs w:val="24"/>
        </w:rPr>
        <w:t>)</w:t>
      </w:r>
      <w:r w:rsidRPr="00E86E0E">
        <w:rPr>
          <w:rFonts w:ascii="Times New Roman" w:hAnsi="Times New Roman"/>
          <w:sz w:val="24"/>
          <w:szCs w:val="24"/>
        </w:rPr>
        <w:t xml:space="preserve"> to discuss the relationship between the share of young people with insecure trajectories and changes in the labour market settings. </w:t>
      </w:r>
      <w:r w:rsidR="009157D3">
        <w:rPr>
          <w:rFonts w:ascii="Times New Roman" w:hAnsi="Times New Roman"/>
          <w:sz w:val="24"/>
          <w:szCs w:val="24"/>
        </w:rPr>
        <w:t xml:space="preserve">A final </w:t>
      </w:r>
      <w:r w:rsidRPr="00E86E0E">
        <w:rPr>
          <w:rFonts w:ascii="Times New Roman" w:hAnsi="Times New Roman"/>
          <w:sz w:val="24"/>
          <w:szCs w:val="24"/>
        </w:rPr>
        <w:t>Section  concludes.</w:t>
      </w:r>
    </w:p>
    <w:p w14:paraId="5E8AD862" w14:textId="2D4712A8" w:rsidR="00D70F7B" w:rsidRPr="00E86E0E" w:rsidRDefault="0075339C" w:rsidP="007677F8">
      <w:pPr>
        <w:keepNext/>
        <w:spacing w:before="240" w:after="120" w:line="300" w:lineRule="auto"/>
        <w:jc w:val="both"/>
        <w:rPr>
          <w:rFonts w:ascii="Times New Roman" w:hAnsi="Times New Roman"/>
          <w:b/>
          <w:sz w:val="24"/>
          <w:szCs w:val="24"/>
        </w:rPr>
      </w:pPr>
      <w:r>
        <w:rPr>
          <w:rFonts w:ascii="Times New Roman" w:hAnsi="Times New Roman"/>
          <w:b/>
          <w:sz w:val="24"/>
          <w:szCs w:val="24"/>
        </w:rPr>
        <w:t>1</w:t>
      </w:r>
      <w:r w:rsidR="00D70F7B" w:rsidRPr="00E86E0E">
        <w:rPr>
          <w:rFonts w:ascii="Times New Roman" w:hAnsi="Times New Roman"/>
          <w:b/>
          <w:sz w:val="24"/>
          <w:szCs w:val="24"/>
        </w:rPr>
        <w:t xml:space="preserve">. </w:t>
      </w:r>
      <w:r w:rsidR="0013796A">
        <w:rPr>
          <w:rFonts w:ascii="Times New Roman" w:hAnsi="Times New Roman"/>
          <w:b/>
          <w:caps/>
          <w:sz w:val="24"/>
          <w:szCs w:val="24"/>
        </w:rPr>
        <w:t xml:space="preserve">Labour market regulation and </w:t>
      </w:r>
      <w:r w:rsidR="00FF085E" w:rsidRPr="00E86E0E">
        <w:rPr>
          <w:rFonts w:ascii="Times New Roman" w:hAnsi="Times New Roman"/>
          <w:b/>
          <w:sz w:val="24"/>
          <w:szCs w:val="24"/>
        </w:rPr>
        <w:t xml:space="preserve">SECURE </w:t>
      </w:r>
      <w:r w:rsidR="00D70F7B" w:rsidRPr="00E86E0E">
        <w:rPr>
          <w:rFonts w:ascii="Times New Roman" w:hAnsi="Times New Roman"/>
          <w:b/>
          <w:sz w:val="24"/>
          <w:szCs w:val="24"/>
        </w:rPr>
        <w:t>TRAJECTORIES</w:t>
      </w:r>
    </w:p>
    <w:p w14:paraId="4C76648C" w14:textId="30CA0842" w:rsidR="00EB1ECB" w:rsidRPr="00E86E0E" w:rsidRDefault="00EB1ECB" w:rsidP="000F3B1B">
      <w:pPr>
        <w:spacing w:after="120" w:line="300" w:lineRule="auto"/>
        <w:jc w:val="both"/>
        <w:rPr>
          <w:rFonts w:ascii="Times New Roman" w:hAnsi="Times New Roman"/>
          <w:sz w:val="24"/>
          <w:szCs w:val="24"/>
        </w:rPr>
      </w:pPr>
      <w:r>
        <w:rPr>
          <w:rFonts w:ascii="Times New Roman" w:hAnsi="Times New Roman"/>
          <w:sz w:val="24"/>
          <w:szCs w:val="24"/>
        </w:rPr>
        <w:t>L</w:t>
      </w:r>
      <w:r w:rsidRPr="00E86E0E">
        <w:rPr>
          <w:rFonts w:ascii="Times New Roman" w:hAnsi="Times New Roman"/>
          <w:sz w:val="24"/>
          <w:szCs w:val="24"/>
        </w:rPr>
        <w:t>abour market regulation is a key factor affecting the quality and nature of transitions of young adults</w:t>
      </w:r>
      <w:r w:rsidR="0013796A">
        <w:rPr>
          <w:rFonts w:ascii="Times New Roman" w:hAnsi="Times New Roman"/>
          <w:sz w:val="24"/>
          <w:szCs w:val="24"/>
        </w:rPr>
        <w:t>, b</w:t>
      </w:r>
      <w:r w:rsidR="0013796A" w:rsidRPr="00E86E0E">
        <w:rPr>
          <w:rFonts w:ascii="Times New Roman" w:hAnsi="Times New Roman"/>
          <w:sz w:val="24"/>
          <w:szCs w:val="24"/>
        </w:rPr>
        <w:t xml:space="preserve">esides youth policies explicitly aimed to promote smooth </w:t>
      </w:r>
      <w:r w:rsidR="007E5FD7">
        <w:rPr>
          <w:rFonts w:ascii="Times New Roman" w:hAnsi="Times New Roman"/>
          <w:sz w:val="24"/>
          <w:szCs w:val="24"/>
        </w:rPr>
        <w:t>school-to-work (</w:t>
      </w:r>
      <w:r w:rsidR="0013796A" w:rsidRPr="00E86E0E">
        <w:rPr>
          <w:rFonts w:ascii="Times New Roman" w:hAnsi="Times New Roman"/>
          <w:sz w:val="24"/>
          <w:szCs w:val="24"/>
        </w:rPr>
        <w:t>STW</w:t>
      </w:r>
      <w:r w:rsidR="007E5FD7">
        <w:rPr>
          <w:rFonts w:ascii="Times New Roman" w:hAnsi="Times New Roman"/>
          <w:sz w:val="24"/>
          <w:szCs w:val="24"/>
        </w:rPr>
        <w:t>) transitions</w:t>
      </w:r>
      <w:r w:rsidRPr="00E86E0E">
        <w:rPr>
          <w:rFonts w:ascii="Times New Roman" w:hAnsi="Times New Roman"/>
          <w:sz w:val="24"/>
          <w:szCs w:val="24"/>
        </w:rPr>
        <w:t>. Differential levels of employment protection legislation (EPL) between temporary and permanent employment have led many countries</w:t>
      </w:r>
      <w:r w:rsidR="00F769BE">
        <w:rPr>
          <w:rFonts w:ascii="Times New Roman" w:hAnsi="Times New Roman"/>
          <w:sz w:val="24"/>
          <w:szCs w:val="24"/>
        </w:rPr>
        <w:t xml:space="preserve"> </w:t>
      </w:r>
      <w:r w:rsidRPr="00E86E0E">
        <w:rPr>
          <w:rFonts w:ascii="Times New Roman" w:hAnsi="Times New Roman"/>
          <w:sz w:val="24"/>
          <w:szCs w:val="24"/>
        </w:rPr>
        <w:t xml:space="preserve">to entrenched labour market segmentation, with young people being increasingly confined to the labour market’s </w:t>
      </w:r>
      <w:r w:rsidR="00031A81">
        <w:rPr>
          <w:rFonts w:ascii="Times New Roman" w:hAnsi="Times New Roman"/>
          <w:sz w:val="24"/>
          <w:szCs w:val="24"/>
        </w:rPr>
        <w:t>insecure</w:t>
      </w:r>
      <w:r w:rsidR="00031A81" w:rsidRPr="00E86E0E">
        <w:rPr>
          <w:rFonts w:ascii="Times New Roman" w:hAnsi="Times New Roman"/>
          <w:sz w:val="24"/>
          <w:szCs w:val="24"/>
        </w:rPr>
        <w:t xml:space="preserve"> </w:t>
      </w:r>
      <w:r w:rsidRPr="00E86E0E">
        <w:rPr>
          <w:rFonts w:ascii="Times New Roman" w:hAnsi="Times New Roman"/>
          <w:sz w:val="24"/>
          <w:szCs w:val="24"/>
        </w:rPr>
        <w:t xml:space="preserve">segment. Since 2010, many countries have tried to tackle segmentation by deregulating permanent </w:t>
      </w:r>
      <w:r w:rsidRPr="00347ABC">
        <w:rPr>
          <w:rFonts w:ascii="Times New Roman" w:hAnsi="Times New Roman"/>
          <w:sz w:val="24"/>
          <w:szCs w:val="24"/>
        </w:rPr>
        <w:t>contracts (Eichhorst</w:t>
      </w:r>
      <w:r w:rsidR="003135C3">
        <w:rPr>
          <w:rFonts w:ascii="Times New Roman" w:hAnsi="Times New Roman"/>
          <w:sz w:val="24"/>
          <w:szCs w:val="24"/>
        </w:rPr>
        <w:t xml:space="preserve"> </w:t>
      </w:r>
      <w:r w:rsidR="003135C3" w:rsidRPr="003135C3">
        <w:rPr>
          <w:rFonts w:ascii="Times New Roman" w:hAnsi="Times New Roman"/>
          <w:i/>
          <w:sz w:val="24"/>
          <w:szCs w:val="24"/>
        </w:rPr>
        <w:t>et al.</w:t>
      </w:r>
      <w:r w:rsidR="00B07F49">
        <w:rPr>
          <w:rFonts w:ascii="Times New Roman" w:hAnsi="Times New Roman"/>
          <w:i/>
          <w:sz w:val="24"/>
          <w:szCs w:val="24"/>
        </w:rPr>
        <w:t xml:space="preserve"> 2</w:t>
      </w:r>
      <w:r w:rsidRPr="00347ABC">
        <w:rPr>
          <w:rFonts w:ascii="Times New Roman" w:hAnsi="Times New Roman"/>
          <w:sz w:val="24"/>
          <w:szCs w:val="24"/>
        </w:rPr>
        <w:t xml:space="preserve">016; Picot and Tassinari 2017). </w:t>
      </w:r>
      <w:r w:rsidRPr="002D078D">
        <w:rPr>
          <w:rFonts w:ascii="Times New Roman" w:hAnsi="Times New Roman"/>
          <w:sz w:val="24"/>
          <w:szCs w:val="24"/>
        </w:rPr>
        <w:t>As Hadjivassiliou</w:t>
      </w:r>
      <w:r w:rsidR="002D078D">
        <w:rPr>
          <w:rFonts w:ascii="Times New Roman" w:hAnsi="Times New Roman"/>
          <w:sz w:val="24"/>
          <w:szCs w:val="24"/>
        </w:rPr>
        <w:t xml:space="preserve"> </w:t>
      </w:r>
      <w:r w:rsidR="002D078D" w:rsidRPr="002D078D">
        <w:rPr>
          <w:rFonts w:ascii="Times New Roman" w:hAnsi="Times New Roman"/>
          <w:i/>
          <w:sz w:val="24"/>
          <w:szCs w:val="24"/>
        </w:rPr>
        <w:t>et al.</w:t>
      </w:r>
      <w:r w:rsidRPr="002D078D">
        <w:rPr>
          <w:rFonts w:ascii="Times New Roman" w:hAnsi="Times New Roman"/>
          <w:sz w:val="24"/>
          <w:szCs w:val="24"/>
        </w:rPr>
        <w:t xml:space="preserve"> (</w:t>
      </w:r>
      <w:r w:rsidR="003C21A1" w:rsidRPr="002D078D">
        <w:rPr>
          <w:rFonts w:ascii="Times New Roman" w:hAnsi="Times New Roman"/>
          <w:sz w:val="24"/>
          <w:szCs w:val="24"/>
        </w:rPr>
        <w:t>2019</w:t>
      </w:r>
      <w:r w:rsidRPr="002D078D">
        <w:rPr>
          <w:rFonts w:ascii="Times New Roman" w:hAnsi="Times New Roman"/>
          <w:sz w:val="24"/>
          <w:szCs w:val="24"/>
        </w:rPr>
        <w:t>)</w:t>
      </w:r>
      <w:r w:rsidRPr="00E86E0E">
        <w:rPr>
          <w:rFonts w:ascii="Times New Roman" w:hAnsi="Times New Roman"/>
          <w:sz w:val="24"/>
          <w:szCs w:val="24"/>
        </w:rPr>
        <w:t xml:space="preserve"> have shown, despite being more pronounced in the most segmented countries, such as France, Spain and Italy, this has also occurred in </w:t>
      </w:r>
      <w:r w:rsidR="00A47914">
        <w:rPr>
          <w:rFonts w:ascii="Times New Roman" w:hAnsi="Times New Roman"/>
          <w:sz w:val="24"/>
          <w:szCs w:val="24"/>
        </w:rPr>
        <w:t>less segmented</w:t>
      </w:r>
      <w:r w:rsidRPr="00E86E0E">
        <w:rPr>
          <w:rFonts w:ascii="Times New Roman" w:hAnsi="Times New Roman"/>
          <w:sz w:val="24"/>
          <w:szCs w:val="24"/>
        </w:rPr>
        <w:t xml:space="preserve"> countries, such as the Netherlands. While reducing segmentation, excessive flexibility can lead to low employment quality and high precariousness, as the experience of the English-speaking and </w:t>
      </w:r>
      <w:r w:rsidR="000C75E5">
        <w:rPr>
          <w:rFonts w:ascii="Times New Roman" w:hAnsi="Times New Roman"/>
          <w:sz w:val="24"/>
          <w:szCs w:val="24"/>
        </w:rPr>
        <w:t>Central-Eastern European (</w:t>
      </w:r>
      <w:r w:rsidRPr="00E86E0E">
        <w:rPr>
          <w:rFonts w:ascii="Times New Roman" w:hAnsi="Times New Roman"/>
          <w:sz w:val="24"/>
          <w:szCs w:val="24"/>
        </w:rPr>
        <w:t>CEE</w:t>
      </w:r>
      <w:r w:rsidR="000C75E5">
        <w:rPr>
          <w:rFonts w:ascii="Times New Roman" w:hAnsi="Times New Roman"/>
          <w:sz w:val="24"/>
          <w:szCs w:val="24"/>
        </w:rPr>
        <w:t>)</w:t>
      </w:r>
      <w:r w:rsidRPr="00E86E0E">
        <w:rPr>
          <w:rFonts w:ascii="Times New Roman" w:hAnsi="Times New Roman"/>
          <w:sz w:val="24"/>
          <w:szCs w:val="24"/>
        </w:rPr>
        <w:t xml:space="preserve"> countries shows. The trend emerging from reforms implemented since the Great Recession thus seems to point toward greater labour market </w:t>
      </w:r>
      <w:r w:rsidRPr="004A52A0">
        <w:rPr>
          <w:rFonts w:ascii="Times New Roman" w:hAnsi="Times New Roman"/>
          <w:sz w:val="24"/>
          <w:szCs w:val="24"/>
        </w:rPr>
        <w:t>flexibilisation</w:t>
      </w:r>
      <w:r w:rsidRPr="00E86E0E">
        <w:rPr>
          <w:rFonts w:ascii="Times New Roman" w:hAnsi="Times New Roman"/>
          <w:sz w:val="24"/>
          <w:szCs w:val="24"/>
        </w:rPr>
        <w:t xml:space="preserve">, which is not promising in terms of ensuring </w:t>
      </w:r>
      <w:r w:rsidR="00031A81">
        <w:rPr>
          <w:rFonts w:ascii="Times New Roman" w:hAnsi="Times New Roman"/>
          <w:sz w:val="24"/>
          <w:szCs w:val="24"/>
        </w:rPr>
        <w:t>youth</w:t>
      </w:r>
      <w:r w:rsidR="00031A81" w:rsidRPr="00E86E0E">
        <w:rPr>
          <w:rFonts w:ascii="Times New Roman" w:hAnsi="Times New Roman"/>
          <w:sz w:val="24"/>
          <w:szCs w:val="24"/>
        </w:rPr>
        <w:t xml:space="preserve"> </w:t>
      </w:r>
      <w:r w:rsidRPr="00E86E0E">
        <w:rPr>
          <w:rFonts w:ascii="Times New Roman" w:hAnsi="Times New Roman"/>
          <w:sz w:val="24"/>
          <w:szCs w:val="24"/>
        </w:rPr>
        <w:t xml:space="preserve">transitions </w:t>
      </w:r>
      <w:r w:rsidR="00031A81">
        <w:rPr>
          <w:rFonts w:ascii="Times New Roman" w:hAnsi="Times New Roman"/>
          <w:sz w:val="24"/>
          <w:szCs w:val="24"/>
        </w:rPr>
        <w:t xml:space="preserve">to </w:t>
      </w:r>
      <w:r w:rsidRPr="00E86E0E">
        <w:rPr>
          <w:rFonts w:ascii="Times New Roman" w:hAnsi="Times New Roman"/>
          <w:sz w:val="24"/>
          <w:szCs w:val="24"/>
        </w:rPr>
        <w:t xml:space="preserve">stable and secure </w:t>
      </w:r>
      <w:r w:rsidR="00031A81">
        <w:rPr>
          <w:rFonts w:ascii="Times New Roman" w:hAnsi="Times New Roman"/>
          <w:sz w:val="24"/>
          <w:szCs w:val="24"/>
        </w:rPr>
        <w:t>positions</w:t>
      </w:r>
      <w:r w:rsidR="00250E28">
        <w:rPr>
          <w:rFonts w:ascii="Times New Roman" w:hAnsi="Times New Roman"/>
          <w:sz w:val="24"/>
          <w:szCs w:val="24"/>
        </w:rPr>
        <w:t xml:space="preserve"> (Smith</w:t>
      </w:r>
      <w:r w:rsidR="00B07F49">
        <w:rPr>
          <w:rFonts w:ascii="Times New Roman" w:hAnsi="Times New Roman"/>
          <w:sz w:val="24"/>
          <w:szCs w:val="24"/>
        </w:rPr>
        <w:t xml:space="preserve"> </w:t>
      </w:r>
      <w:r w:rsidR="00B07F49" w:rsidRPr="00B07F49">
        <w:rPr>
          <w:rFonts w:ascii="Times New Roman" w:hAnsi="Times New Roman"/>
          <w:i/>
          <w:sz w:val="24"/>
          <w:szCs w:val="24"/>
        </w:rPr>
        <w:t>et al.</w:t>
      </w:r>
      <w:r w:rsidR="00250E28">
        <w:rPr>
          <w:rFonts w:ascii="Times New Roman" w:hAnsi="Times New Roman"/>
          <w:sz w:val="24"/>
          <w:szCs w:val="24"/>
        </w:rPr>
        <w:t xml:space="preserve"> 2019)</w:t>
      </w:r>
      <w:r w:rsidRPr="00E86E0E">
        <w:rPr>
          <w:rFonts w:ascii="Times New Roman" w:hAnsi="Times New Roman"/>
          <w:sz w:val="24"/>
          <w:szCs w:val="24"/>
        </w:rPr>
        <w:t>. Balancing flexibility and security in youth labour markets represents a key, and unresolved, challenge in all countries.</w:t>
      </w:r>
    </w:p>
    <w:p w14:paraId="6ECDA29F" w14:textId="28E4B3A0" w:rsidR="00CA3C54" w:rsidRDefault="0075339C" w:rsidP="0015506B">
      <w:pPr>
        <w:spacing w:before="240" w:after="120" w:line="300" w:lineRule="auto"/>
        <w:jc w:val="both"/>
        <w:rPr>
          <w:rFonts w:ascii="Times New Roman" w:hAnsi="Times New Roman"/>
          <w:b/>
          <w:sz w:val="24"/>
          <w:szCs w:val="24"/>
        </w:rPr>
      </w:pPr>
      <w:r>
        <w:rPr>
          <w:rFonts w:ascii="Times New Roman" w:hAnsi="Times New Roman"/>
          <w:b/>
          <w:sz w:val="24"/>
          <w:szCs w:val="24"/>
        </w:rPr>
        <w:t>2</w:t>
      </w:r>
      <w:r w:rsidR="00324745" w:rsidRPr="00E86E0E">
        <w:rPr>
          <w:rFonts w:ascii="Times New Roman" w:hAnsi="Times New Roman"/>
          <w:b/>
          <w:sz w:val="24"/>
          <w:szCs w:val="24"/>
        </w:rPr>
        <w:t xml:space="preserve">. </w:t>
      </w:r>
      <w:r w:rsidR="00844BDB">
        <w:rPr>
          <w:rFonts w:ascii="Times New Roman" w:hAnsi="Times New Roman"/>
          <w:b/>
          <w:caps/>
          <w:sz w:val="24"/>
          <w:szCs w:val="24"/>
        </w:rPr>
        <w:t>The methodological approach</w:t>
      </w:r>
      <w:r w:rsidR="00324745" w:rsidRPr="00E86E0E">
        <w:rPr>
          <w:rFonts w:ascii="Times New Roman" w:hAnsi="Times New Roman"/>
          <w:b/>
          <w:sz w:val="24"/>
          <w:szCs w:val="24"/>
        </w:rPr>
        <w:t xml:space="preserve"> </w:t>
      </w:r>
    </w:p>
    <w:p w14:paraId="4CEB83E3" w14:textId="0E5E1018" w:rsidR="00B37B63" w:rsidRDefault="00B37B63" w:rsidP="0015506B">
      <w:pPr>
        <w:spacing w:before="240" w:after="120" w:line="300" w:lineRule="auto"/>
        <w:jc w:val="both"/>
        <w:rPr>
          <w:rFonts w:ascii="Times New Roman" w:hAnsi="Times New Roman"/>
          <w:sz w:val="24"/>
          <w:szCs w:val="24"/>
        </w:rPr>
      </w:pPr>
      <w:r w:rsidRPr="00B37B63">
        <w:rPr>
          <w:rFonts w:ascii="Times New Roman" w:hAnsi="Times New Roman"/>
          <w:sz w:val="24"/>
          <w:szCs w:val="24"/>
        </w:rPr>
        <w:lastRenderedPageBreak/>
        <w:t>The increased flexibility of labour markets resulting from over two decades of labour market reforms</w:t>
      </w:r>
      <w:r w:rsidR="00A70A28">
        <w:rPr>
          <w:rFonts w:ascii="Times New Roman" w:hAnsi="Times New Roman"/>
          <w:sz w:val="24"/>
          <w:szCs w:val="24"/>
        </w:rPr>
        <w:t>,</w:t>
      </w:r>
      <w:r w:rsidRPr="00B37B63">
        <w:rPr>
          <w:rFonts w:ascii="Times New Roman" w:hAnsi="Times New Roman"/>
          <w:sz w:val="24"/>
          <w:szCs w:val="24"/>
        </w:rPr>
        <w:t xml:space="preserve"> combined with the effects of the worsening macroeconomic conditions </w:t>
      </w:r>
      <w:r w:rsidR="00A70A28">
        <w:rPr>
          <w:rFonts w:ascii="Times New Roman" w:hAnsi="Times New Roman"/>
          <w:sz w:val="24"/>
          <w:szCs w:val="24"/>
        </w:rPr>
        <w:t>around</w:t>
      </w:r>
      <w:r w:rsidR="00A70A28" w:rsidRPr="00B37B63">
        <w:rPr>
          <w:rFonts w:ascii="Times New Roman" w:hAnsi="Times New Roman"/>
          <w:sz w:val="24"/>
          <w:szCs w:val="24"/>
        </w:rPr>
        <w:t xml:space="preserve"> </w:t>
      </w:r>
      <w:r w:rsidRPr="00B37B63">
        <w:rPr>
          <w:rFonts w:ascii="Times New Roman" w:hAnsi="Times New Roman"/>
          <w:sz w:val="24"/>
          <w:szCs w:val="24"/>
        </w:rPr>
        <w:t>the onset of the Great Recession</w:t>
      </w:r>
      <w:r w:rsidR="00A70A28">
        <w:rPr>
          <w:rFonts w:ascii="Times New Roman" w:hAnsi="Times New Roman"/>
          <w:sz w:val="24"/>
          <w:szCs w:val="24"/>
        </w:rPr>
        <w:t>,</w:t>
      </w:r>
      <w:r w:rsidRPr="00B37B63">
        <w:rPr>
          <w:rFonts w:ascii="Times New Roman" w:hAnsi="Times New Roman"/>
          <w:sz w:val="24"/>
          <w:szCs w:val="24"/>
        </w:rPr>
        <w:t xml:space="preserve"> call for a different perspective in the analysis of the difficulties faced by young people in the labour market. </w:t>
      </w:r>
      <w:r w:rsidR="00D024CE">
        <w:rPr>
          <w:rFonts w:ascii="Times New Roman" w:hAnsi="Times New Roman"/>
          <w:sz w:val="24"/>
          <w:szCs w:val="24"/>
        </w:rPr>
        <w:t xml:space="preserve">Berloffa </w:t>
      </w:r>
      <w:r w:rsidR="00D024CE" w:rsidRPr="00DA57CA">
        <w:rPr>
          <w:rFonts w:ascii="Times New Roman" w:hAnsi="Times New Roman"/>
          <w:i/>
          <w:sz w:val="24"/>
          <w:szCs w:val="24"/>
        </w:rPr>
        <w:t>et al.</w:t>
      </w:r>
      <w:r w:rsidR="00D024CE">
        <w:rPr>
          <w:rFonts w:ascii="Times New Roman" w:hAnsi="Times New Roman"/>
          <w:sz w:val="24"/>
          <w:szCs w:val="24"/>
        </w:rPr>
        <w:t xml:space="preserve"> (2019</w:t>
      </w:r>
      <w:r w:rsidR="006F0FEB">
        <w:rPr>
          <w:rFonts w:ascii="Times New Roman" w:hAnsi="Times New Roman"/>
          <w:sz w:val="24"/>
          <w:szCs w:val="24"/>
        </w:rPr>
        <w:t>b</w:t>
      </w:r>
      <w:r w:rsidR="00D024CE">
        <w:rPr>
          <w:rFonts w:ascii="Times New Roman" w:hAnsi="Times New Roman"/>
          <w:sz w:val="24"/>
          <w:szCs w:val="24"/>
        </w:rPr>
        <w:t>) develop</w:t>
      </w:r>
      <w:r w:rsidR="00F8327D">
        <w:rPr>
          <w:rFonts w:ascii="Times New Roman" w:hAnsi="Times New Roman"/>
          <w:sz w:val="24"/>
          <w:szCs w:val="24"/>
        </w:rPr>
        <w:t>ed</w:t>
      </w:r>
      <w:r w:rsidR="00D024CE">
        <w:rPr>
          <w:rFonts w:ascii="Times New Roman" w:hAnsi="Times New Roman"/>
          <w:sz w:val="24"/>
          <w:szCs w:val="24"/>
        </w:rPr>
        <w:t xml:space="preserve"> a new approach for the evaluation of employment quality, considering the evolution of individual’s employment conditions over time, instead of the quality of the job held at a point in time.</w:t>
      </w:r>
      <w:r w:rsidR="00160882">
        <w:rPr>
          <w:rStyle w:val="Rimandonotaapidipagina"/>
          <w:rFonts w:ascii="Times New Roman" w:hAnsi="Times New Roman"/>
          <w:sz w:val="24"/>
          <w:szCs w:val="24"/>
        </w:rPr>
        <w:footnoteReference w:id="1"/>
      </w:r>
      <w:r w:rsidR="00D024CE">
        <w:rPr>
          <w:rFonts w:ascii="Times New Roman" w:hAnsi="Times New Roman"/>
          <w:sz w:val="24"/>
          <w:szCs w:val="24"/>
        </w:rPr>
        <w:t xml:space="preserve"> </w:t>
      </w:r>
      <w:r w:rsidR="00E5788D">
        <w:rPr>
          <w:rFonts w:ascii="Times New Roman" w:hAnsi="Times New Roman"/>
          <w:sz w:val="24"/>
          <w:szCs w:val="24"/>
        </w:rPr>
        <w:t>Adopting t</w:t>
      </w:r>
      <w:r w:rsidR="003B4777">
        <w:rPr>
          <w:rFonts w:ascii="Times New Roman" w:hAnsi="Times New Roman"/>
          <w:sz w:val="24"/>
          <w:szCs w:val="24"/>
        </w:rPr>
        <w:t>his</w:t>
      </w:r>
      <w:r w:rsidRPr="00B37B63">
        <w:rPr>
          <w:rFonts w:ascii="Times New Roman" w:hAnsi="Times New Roman"/>
          <w:sz w:val="24"/>
          <w:szCs w:val="24"/>
        </w:rPr>
        <w:t xml:space="preserve"> </w:t>
      </w:r>
      <w:r w:rsidR="00E5788D">
        <w:rPr>
          <w:rFonts w:ascii="Times New Roman" w:hAnsi="Times New Roman"/>
          <w:sz w:val="24"/>
          <w:szCs w:val="24"/>
        </w:rPr>
        <w:t xml:space="preserve">approach </w:t>
      </w:r>
      <w:r w:rsidRPr="00B37B63">
        <w:rPr>
          <w:rFonts w:ascii="Times New Roman" w:hAnsi="Times New Roman"/>
          <w:sz w:val="24"/>
          <w:szCs w:val="24"/>
        </w:rPr>
        <w:t>implies moving from a static to a dynamic approach for the evaluation of youth labour market outcomes</w:t>
      </w:r>
      <w:r w:rsidR="00D024CE">
        <w:rPr>
          <w:rFonts w:ascii="Times New Roman" w:hAnsi="Times New Roman"/>
          <w:sz w:val="24"/>
          <w:szCs w:val="24"/>
        </w:rPr>
        <w:t>.</w:t>
      </w:r>
      <w:r w:rsidRPr="00B37B63">
        <w:rPr>
          <w:rFonts w:ascii="Times New Roman" w:hAnsi="Times New Roman"/>
          <w:sz w:val="24"/>
          <w:szCs w:val="24"/>
        </w:rPr>
        <w:t xml:space="preserve"> This change of perspective is crucial for setting policy priorities and proposing adequate labour market policies.</w:t>
      </w:r>
      <w:r w:rsidR="00072C53">
        <w:rPr>
          <w:rFonts w:ascii="Times New Roman" w:hAnsi="Times New Roman"/>
          <w:sz w:val="24"/>
          <w:szCs w:val="24"/>
        </w:rPr>
        <w:t xml:space="preserve"> </w:t>
      </w:r>
      <w:r w:rsidR="00A70A28">
        <w:rPr>
          <w:rFonts w:ascii="Times New Roman" w:hAnsi="Times New Roman"/>
          <w:sz w:val="24"/>
          <w:szCs w:val="24"/>
        </w:rPr>
        <w:t>Further</w:t>
      </w:r>
      <w:r w:rsidR="006C4061">
        <w:rPr>
          <w:rFonts w:ascii="Times New Roman" w:hAnsi="Times New Roman"/>
          <w:sz w:val="24"/>
          <w:szCs w:val="24"/>
        </w:rPr>
        <w:t>,</w:t>
      </w:r>
      <w:r w:rsidR="00A70A28">
        <w:rPr>
          <w:rFonts w:ascii="Times New Roman" w:hAnsi="Times New Roman"/>
          <w:sz w:val="24"/>
          <w:szCs w:val="24"/>
        </w:rPr>
        <w:t xml:space="preserve"> </w:t>
      </w:r>
      <w:r w:rsidR="006C4061">
        <w:rPr>
          <w:rFonts w:ascii="Times New Roman" w:hAnsi="Times New Roman"/>
          <w:sz w:val="24"/>
          <w:szCs w:val="24"/>
        </w:rPr>
        <w:t>it</w:t>
      </w:r>
      <w:r w:rsidR="00072C53">
        <w:rPr>
          <w:rFonts w:ascii="Times New Roman" w:hAnsi="Times New Roman"/>
          <w:sz w:val="24"/>
          <w:szCs w:val="24"/>
        </w:rPr>
        <w:t xml:space="preserve"> calls for an assessment of policy making at the national level that takes into account the specific difficulties faced by young adults in entering secure employment trajectories.</w:t>
      </w:r>
    </w:p>
    <w:p w14:paraId="77796BB4" w14:textId="27D8A644" w:rsidR="00723A2E" w:rsidRDefault="002C58F1" w:rsidP="0015506B">
      <w:pPr>
        <w:pStyle w:val="Corpotesto"/>
        <w:widowControl w:val="0"/>
        <w:autoSpaceDE w:val="0"/>
        <w:autoSpaceDN w:val="0"/>
        <w:adjustRightInd w:val="0"/>
        <w:spacing w:after="120" w:line="300" w:lineRule="auto"/>
        <w:textAlignment w:val="center"/>
        <w:rPr>
          <w:rFonts w:ascii="Times New Roman" w:eastAsia="Calibri" w:hAnsi="Times New Roman"/>
          <w:szCs w:val="24"/>
          <w:lang w:eastAsia="en-US"/>
        </w:rPr>
      </w:pPr>
      <w:r w:rsidRPr="00E86E0E">
        <w:rPr>
          <w:rFonts w:ascii="Times New Roman" w:hAnsi="Times New Roman"/>
          <w:szCs w:val="24"/>
        </w:rPr>
        <w:t>The i</w:t>
      </w:r>
      <w:r w:rsidRPr="00E86E0E">
        <w:rPr>
          <w:rFonts w:ascii="Times New Roman" w:eastAsia="Calibri" w:hAnsi="Times New Roman"/>
          <w:szCs w:val="24"/>
          <w:lang w:eastAsia="en-US"/>
        </w:rPr>
        <w:t xml:space="preserve">ncreasing precariousness </w:t>
      </w:r>
      <w:r w:rsidR="00BE4178" w:rsidRPr="00E86E0E">
        <w:rPr>
          <w:rFonts w:ascii="Times New Roman" w:eastAsia="Calibri" w:hAnsi="Times New Roman"/>
          <w:szCs w:val="24"/>
          <w:lang w:eastAsia="en-US"/>
        </w:rPr>
        <w:t>of young adults in Europe</w:t>
      </w:r>
      <w:r w:rsidRPr="00E86E0E">
        <w:rPr>
          <w:rFonts w:ascii="Times New Roman" w:eastAsia="Calibri" w:hAnsi="Times New Roman"/>
          <w:szCs w:val="24"/>
          <w:lang w:eastAsia="en-US"/>
        </w:rPr>
        <w:t xml:space="preserve"> implies that monthly information about individuals’ employment status over two/three year period reveal</w:t>
      </w:r>
      <w:r w:rsidR="00723A2E">
        <w:rPr>
          <w:rFonts w:ascii="Times New Roman" w:eastAsia="Calibri" w:hAnsi="Times New Roman"/>
          <w:szCs w:val="24"/>
          <w:lang w:eastAsia="en-US"/>
        </w:rPr>
        <w:t>s</w:t>
      </w:r>
      <w:r w:rsidRPr="00E86E0E">
        <w:rPr>
          <w:rFonts w:ascii="Times New Roman" w:eastAsia="Calibri" w:hAnsi="Times New Roman"/>
          <w:szCs w:val="24"/>
          <w:lang w:eastAsia="en-US"/>
        </w:rPr>
        <w:t xml:space="preserve"> many movements going on in the labour market. </w:t>
      </w:r>
      <w:r w:rsidR="00723A2E">
        <w:rPr>
          <w:rFonts w:ascii="Times New Roman" w:eastAsia="Calibri" w:hAnsi="Times New Roman"/>
          <w:szCs w:val="24"/>
          <w:lang w:eastAsia="en-US"/>
        </w:rPr>
        <w:t>M</w:t>
      </w:r>
      <w:r w:rsidRPr="00E86E0E">
        <w:rPr>
          <w:rFonts w:ascii="Times New Roman" w:eastAsia="Calibri" w:hAnsi="Times New Roman"/>
          <w:szCs w:val="24"/>
          <w:lang w:eastAsia="en-US"/>
        </w:rPr>
        <w:t>onthly information on individuals’ employment statuses</w:t>
      </w:r>
      <w:r w:rsidR="00621CB2">
        <w:rPr>
          <w:rFonts w:ascii="Times New Roman" w:eastAsia="Calibri" w:hAnsi="Times New Roman"/>
          <w:szCs w:val="24"/>
          <w:lang w:eastAsia="en-US"/>
        </w:rPr>
        <w:t xml:space="preserve"> </w:t>
      </w:r>
      <w:r w:rsidR="00723A2E">
        <w:rPr>
          <w:rFonts w:ascii="Times New Roman" w:eastAsia="Calibri" w:hAnsi="Times New Roman"/>
          <w:szCs w:val="24"/>
          <w:lang w:eastAsia="en-US"/>
        </w:rPr>
        <w:t xml:space="preserve">is </w:t>
      </w:r>
      <w:r w:rsidR="006C3F6D">
        <w:rPr>
          <w:rFonts w:ascii="Times New Roman" w:eastAsia="Calibri" w:hAnsi="Times New Roman"/>
          <w:szCs w:val="24"/>
          <w:lang w:eastAsia="en-US"/>
        </w:rPr>
        <w:t xml:space="preserve">here </w:t>
      </w:r>
      <w:r w:rsidR="00723A2E">
        <w:rPr>
          <w:rFonts w:ascii="Times New Roman" w:eastAsia="Calibri" w:hAnsi="Times New Roman"/>
          <w:szCs w:val="24"/>
          <w:lang w:eastAsia="en-US"/>
        </w:rPr>
        <w:t xml:space="preserve">used </w:t>
      </w:r>
      <w:r w:rsidRPr="00E86E0E">
        <w:rPr>
          <w:rFonts w:ascii="Times New Roman" w:eastAsia="Calibri" w:hAnsi="Times New Roman"/>
          <w:szCs w:val="24"/>
          <w:lang w:eastAsia="en-US"/>
        </w:rPr>
        <w:t>to identify various</w:t>
      </w:r>
      <w:r w:rsidR="006426C1" w:rsidRPr="00E86E0E">
        <w:rPr>
          <w:rFonts w:ascii="Times New Roman" w:eastAsia="Calibri" w:hAnsi="Times New Roman"/>
          <w:szCs w:val="24"/>
          <w:lang w:eastAsia="en-US"/>
        </w:rPr>
        <w:t xml:space="preserve"> types of</w:t>
      </w:r>
      <w:r w:rsidR="00621CB2">
        <w:rPr>
          <w:rFonts w:ascii="Times New Roman" w:eastAsia="Calibri" w:hAnsi="Times New Roman"/>
          <w:szCs w:val="24"/>
          <w:lang w:eastAsia="en-US"/>
        </w:rPr>
        <w:t xml:space="preserve"> </w:t>
      </w:r>
      <w:r w:rsidR="006426C1" w:rsidRPr="00E86E0E">
        <w:rPr>
          <w:rFonts w:ascii="Times New Roman" w:eastAsia="Calibri" w:hAnsi="Times New Roman"/>
          <w:szCs w:val="24"/>
          <w:lang w:eastAsia="en-US"/>
        </w:rPr>
        <w:t>'</w:t>
      </w:r>
      <w:r w:rsidRPr="00E86E0E">
        <w:rPr>
          <w:rFonts w:ascii="Times New Roman" w:eastAsia="Calibri" w:hAnsi="Times New Roman"/>
          <w:szCs w:val="24"/>
          <w:lang w:eastAsia="en-US"/>
        </w:rPr>
        <w:t>employment status trajectories</w:t>
      </w:r>
      <w:r w:rsidR="006426C1" w:rsidRPr="00E86E0E">
        <w:rPr>
          <w:rFonts w:ascii="Times New Roman" w:eastAsia="Calibri" w:hAnsi="Times New Roman"/>
          <w:szCs w:val="24"/>
          <w:lang w:eastAsia="en-US"/>
        </w:rPr>
        <w:t>’</w:t>
      </w:r>
      <w:r w:rsidRPr="00E86E0E">
        <w:rPr>
          <w:rFonts w:ascii="Times New Roman" w:eastAsia="Calibri" w:hAnsi="Times New Roman"/>
          <w:szCs w:val="24"/>
          <w:lang w:eastAsia="en-US"/>
        </w:rPr>
        <w:t xml:space="preserve"> (ESTs)</w:t>
      </w:r>
      <w:r w:rsidR="006426C1" w:rsidRPr="00E86E0E">
        <w:rPr>
          <w:rFonts w:ascii="Times New Roman" w:eastAsia="Calibri" w:hAnsi="Times New Roman"/>
          <w:szCs w:val="24"/>
          <w:lang w:eastAsia="en-US"/>
        </w:rPr>
        <w:t>,</w:t>
      </w:r>
      <w:r w:rsidRPr="00E86E0E">
        <w:rPr>
          <w:rFonts w:ascii="Times New Roman" w:eastAsia="Calibri" w:hAnsi="Times New Roman"/>
          <w:szCs w:val="24"/>
          <w:lang w:eastAsia="en-US"/>
        </w:rPr>
        <w:t xml:space="preserve"> according to the length and number of employment and non-employment spells. </w:t>
      </w:r>
    </w:p>
    <w:p w14:paraId="67E6F0A3" w14:textId="418588BD" w:rsidR="00374125" w:rsidRPr="00E86E0E" w:rsidRDefault="00D71601" w:rsidP="00BD0930">
      <w:pPr>
        <w:keepNext/>
        <w:spacing w:before="240" w:after="120" w:line="300" w:lineRule="auto"/>
        <w:jc w:val="both"/>
        <w:rPr>
          <w:rFonts w:ascii="Times New Roman" w:hAnsi="Times New Roman"/>
          <w:b/>
          <w:sz w:val="24"/>
          <w:szCs w:val="24"/>
        </w:rPr>
      </w:pPr>
      <w:r>
        <w:rPr>
          <w:rFonts w:ascii="Times New Roman" w:hAnsi="Times New Roman"/>
          <w:b/>
          <w:caps/>
          <w:sz w:val="24"/>
          <w:szCs w:val="24"/>
        </w:rPr>
        <w:t>3</w:t>
      </w:r>
      <w:r w:rsidR="00D70F7B" w:rsidRPr="00E86E0E">
        <w:rPr>
          <w:rFonts w:ascii="Times New Roman" w:hAnsi="Times New Roman"/>
          <w:b/>
          <w:caps/>
          <w:sz w:val="24"/>
          <w:szCs w:val="24"/>
        </w:rPr>
        <w:t xml:space="preserve">. </w:t>
      </w:r>
      <w:r w:rsidR="0024597D" w:rsidRPr="00E86E0E">
        <w:rPr>
          <w:rFonts w:ascii="Times New Roman" w:hAnsi="Times New Roman"/>
          <w:b/>
          <w:caps/>
          <w:sz w:val="24"/>
          <w:szCs w:val="24"/>
        </w:rPr>
        <w:t>Analysis of youth trajctories</w:t>
      </w:r>
    </w:p>
    <w:p w14:paraId="5D3F8F8F" w14:textId="01D3AE81" w:rsidR="00890FBB" w:rsidRPr="00E86E0E" w:rsidRDefault="00890FBB" w:rsidP="00890FBB">
      <w:pPr>
        <w:spacing w:after="120" w:line="300" w:lineRule="auto"/>
        <w:jc w:val="both"/>
        <w:rPr>
          <w:rFonts w:ascii="Times New Roman" w:hAnsi="Times New Roman"/>
          <w:color w:val="000000"/>
          <w:sz w:val="24"/>
          <w:szCs w:val="24"/>
          <w:lang w:eastAsia="en-GB"/>
        </w:rPr>
      </w:pPr>
      <w:r>
        <w:rPr>
          <w:rFonts w:ascii="Times New Roman" w:hAnsi="Times New Roman"/>
          <w:color w:val="000000"/>
          <w:sz w:val="24"/>
          <w:szCs w:val="24"/>
          <w:lang w:eastAsia="en-GB"/>
        </w:rPr>
        <w:t xml:space="preserve">We follow Berloffa </w:t>
      </w:r>
      <w:r w:rsidRPr="00DD7D13">
        <w:rPr>
          <w:rFonts w:ascii="Times New Roman" w:hAnsi="Times New Roman"/>
          <w:i/>
          <w:color w:val="000000"/>
          <w:sz w:val="24"/>
          <w:szCs w:val="24"/>
          <w:lang w:eastAsia="en-GB"/>
        </w:rPr>
        <w:t>et al.</w:t>
      </w:r>
      <w:r>
        <w:rPr>
          <w:rFonts w:ascii="Times New Roman" w:hAnsi="Times New Roman"/>
          <w:color w:val="000000"/>
          <w:sz w:val="24"/>
          <w:szCs w:val="24"/>
          <w:lang w:eastAsia="en-GB"/>
        </w:rPr>
        <w:t xml:space="preserve"> (2019</w:t>
      </w:r>
      <w:r w:rsidR="006F0FEB">
        <w:rPr>
          <w:rFonts w:ascii="Times New Roman" w:hAnsi="Times New Roman"/>
          <w:color w:val="000000"/>
          <w:sz w:val="24"/>
          <w:szCs w:val="24"/>
          <w:lang w:eastAsia="en-GB"/>
        </w:rPr>
        <w:t>b</w:t>
      </w:r>
      <w:r>
        <w:rPr>
          <w:rFonts w:ascii="Times New Roman" w:hAnsi="Times New Roman"/>
          <w:color w:val="000000"/>
          <w:sz w:val="24"/>
          <w:szCs w:val="24"/>
          <w:lang w:eastAsia="en-GB"/>
        </w:rPr>
        <w:t xml:space="preserve">) and use </w:t>
      </w:r>
      <w:r w:rsidRPr="00E86E0E">
        <w:rPr>
          <w:rFonts w:ascii="Times New Roman" w:hAnsi="Times New Roman"/>
          <w:color w:val="000000"/>
          <w:sz w:val="24"/>
          <w:szCs w:val="24"/>
          <w:lang w:eastAsia="en-GB"/>
        </w:rPr>
        <w:t xml:space="preserve">EU-SILC longitudinal data to identify six </w:t>
      </w:r>
      <w:r>
        <w:rPr>
          <w:rFonts w:ascii="Times New Roman" w:hAnsi="Times New Roman"/>
          <w:color w:val="000000"/>
          <w:sz w:val="24"/>
          <w:szCs w:val="24"/>
          <w:lang w:eastAsia="en-GB"/>
        </w:rPr>
        <w:t xml:space="preserve">categories of </w:t>
      </w:r>
      <w:r w:rsidRPr="00E86E0E">
        <w:rPr>
          <w:rFonts w:ascii="Times New Roman" w:hAnsi="Times New Roman"/>
          <w:sz w:val="24"/>
          <w:szCs w:val="24"/>
        </w:rPr>
        <w:t xml:space="preserve">employment status </w:t>
      </w:r>
      <w:r>
        <w:rPr>
          <w:rFonts w:ascii="Times New Roman" w:hAnsi="Times New Roman"/>
          <w:color w:val="000000"/>
          <w:sz w:val="24"/>
          <w:szCs w:val="24"/>
          <w:lang w:eastAsia="en-GB"/>
        </w:rPr>
        <w:t>trajectories</w:t>
      </w:r>
      <w:r w:rsidRPr="00E86E0E">
        <w:rPr>
          <w:rFonts w:ascii="Times New Roman" w:hAnsi="Times New Roman"/>
          <w:color w:val="000000"/>
          <w:sz w:val="24"/>
          <w:szCs w:val="24"/>
          <w:lang w:eastAsia="en-GB"/>
        </w:rPr>
        <w:t xml:space="preserve"> </w:t>
      </w:r>
      <w:r>
        <w:rPr>
          <w:rFonts w:ascii="Times New Roman" w:hAnsi="Times New Roman"/>
          <w:sz w:val="24"/>
          <w:szCs w:val="24"/>
        </w:rPr>
        <w:t>(ESTs)</w:t>
      </w:r>
      <w:r w:rsidRPr="00E86E0E">
        <w:rPr>
          <w:rFonts w:ascii="Times New Roman" w:hAnsi="Times New Roman"/>
          <w:sz w:val="24"/>
          <w:szCs w:val="24"/>
        </w:rPr>
        <w:t xml:space="preserve"> </w:t>
      </w:r>
      <w:r w:rsidRPr="00E86E0E">
        <w:rPr>
          <w:rFonts w:ascii="Times New Roman" w:hAnsi="Times New Roman"/>
          <w:color w:val="000000"/>
          <w:sz w:val="24"/>
          <w:szCs w:val="24"/>
          <w:lang w:eastAsia="en-GB"/>
        </w:rPr>
        <w:t>for young adults (aged 1</w:t>
      </w:r>
      <w:r>
        <w:rPr>
          <w:rFonts w:ascii="Times New Roman" w:hAnsi="Times New Roman"/>
          <w:color w:val="000000"/>
          <w:sz w:val="24"/>
          <w:szCs w:val="24"/>
          <w:lang w:eastAsia="en-GB"/>
        </w:rPr>
        <w:t>7</w:t>
      </w:r>
      <w:r w:rsidRPr="00E86E0E">
        <w:rPr>
          <w:rFonts w:ascii="Times New Roman" w:hAnsi="Times New Roman"/>
          <w:color w:val="000000"/>
          <w:sz w:val="24"/>
          <w:szCs w:val="24"/>
          <w:lang w:eastAsia="en-GB"/>
        </w:rPr>
        <w:t xml:space="preserve">-34) based upon </w:t>
      </w:r>
      <w:r w:rsidRPr="00E86E0E">
        <w:rPr>
          <w:rFonts w:ascii="Times New Roman" w:hAnsi="Times New Roman"/>
          <w:sz w:val="24"/>
          <w:szCs w:val="24"/>
        </w:rPr>
        <w:t>the length and number of employment and non-employment spells over a relatively long period of time (24 months starting three to five years after leaving education).</w:t>
      </w:r>
      <w:r w:rsidRPr="00E86E0E">
        <w:rPr>
          <w:rStyle w:val="Rimandonotaapidipagina"/>
          <w:rFonts w:ascii="Times New Roman" w:hAnsi="Times New Roman"/>
          <w:color w:val="000000"/>
          <w:sz w:val="24"/>
          <w:szCs w:val="24"/>
          <w:lang w:eastAsia="en-GB"/>
        </w:rPr>
        <w:footnoteReference w:id="2"/>
      </w:r>
      <w:r w:rsidRPr="00E86E0E">
        <w:rPr>
          <w:rFonts w:ascii="Times New Roman" w:hAnsi="Times New Roman"/>
          <w:sz w:val="24"/>
          <w:szCs w:val="24"/>
        </w:rPr>
        <w:t xml:space="preserve"> These </w:t>
      </w:r>
      <w:r>
        <w:rPr>
          <w:rFonts w:ascii="Times New Roman" w:hAnsi="Times New Roman"/>
          <w:sz w:val="24"/>
          <w:szCs w:val="24"/>
        </w:rPr>
        <w:t xml:space="preserve">ESTs </w:t>
      </w:r>
      <w:r w:rsidRPr="00E86E0E">
        <w:rPr>
          <w:rFonts w:ascii="Times New Roman" w:hAnsi="Times New Roman"/>
          <w:sz w:val="24"/>
          <w:szCs w:val="24"/>
        </w:rPr>
        <w:t>are defined as follows:</w:t>
      </w:r>
    </w:p>
    <w:p w14:paraId="6A7355D6" w14:textId="77777777" w:rsidR="00890FBB" w:rsidRPr="00071E95" w:rsidRDefault="00890FBB" w:rsidP="00F21BA0">
      <w:pPr>
        <w:pStyle w:val="Paragrafoelenco"/>
        <w:numPr>
          <w:ilvl w:val="0"/>
          <w:numId w:val="2"/>
        </w:numPr>
        <w:spacing w:after="120" w:line="300" w:lineRule="auto"/>
        <w:ind w:left="425" w:hanging="357"/>
        <w:jc w:val="both"/>
        <w:rPr>
          <w:rFonts w:ascii="Times New Roman" w:hAnsi="Times New Roman"/>
          <w:color w:val="000000"/>
          <w:sz w:val="24"/>
          <w:szCs w:val="24"/>
          <w:lang w:eastAsia="en-GB"/>
        </w:rPr>
      </w:pPr>
      <w:r w:rsidRPr="00071E95">
        <w:rPr>
          <w:rFonts w:ascii="Times New Roman" w:hAnsi="Times New Roman"/>
          <w:bCs/>
          <w:i/>
          <w:color w:val="000000"/>
          <w:sz w:val="24"/>
          <w:szCs w:val="24"/>
          <w:lang w:eastAsia="en-GB"/>
        </w:rPr>
        <w:t>employment-secure</w:t>
      </w:r>
      <w:r w:rsidRPr="00071E95">
        <w:rPr>
          <w:rFonts w:ascii="Times New Roman" w:hAnsi="Times New Roman"/>
          <w:i/>
          <w:color w:val="000000"/>
          <w:sz w:val="24"/>
          <w:szCs w:val="24"/>
          <w:lang w:eastAsia="en-GB"/>
        </w:rPr>
        <w:t>:</w:t>
      </w:r>
      <w:r w:rsidRPr="00071E95">
        <w:rPr>
          <w:rFonts w:ascii="Times New Roman" w:hAnsi="Times New Roman"/>
          <w:color w:val="000000"/>
          <w:sz w:val="24"/>
          <w:szCs w:val="24"/>
          <w:lang w:eastAsia="en-GB"/>
        </w:rPr>
        <w:t xml:space="preserve"> trajectories which includes </w:t>
      </w:r>
      <w:r w:rsidRPr="00071E95">
        <w:rPr>
          <w:rFonts w:ascii="Times New Roman" w:hAnsi="Times New Roman"/>
          <w:sz w:val="24"/>
          <w:szCs w:val="24"/>
          <w:lang w:eastAsia="en-GB"/>
        </w:rPr>
        <w:t>employment spells lasting (each) at least six months and non-employment spells lasting (each) at most three months;</w:t>
      </w:r>
    </w:p>
    <w:p w14:paraId="65B0DA5E" w14:textId="77777777" w:rsidR="00890FBB" w:rsidRPr="00071E95" w:rsidRDefault="00890FBB" w:rsidP="00F21BA0">
      <w:pPr>
        <w:pStyle w:val="Paragrafoelenco"/>
        <w:numPr>
          <w:ilvl w:val="0"/>
          <w:numId w:val="2"/>
        </w:numPr>
        <w:spacing w:after="120" w:line="300" w:lineRule="auto"/>
        <w:ind w:left="425" w:hanging="357"/>
        <w:jc w:val="both"/>
        <w:rPr>
          <w:rFonts w:ascii="Times New Roman" w:hAnsi="Times New Roman"/>
          <w:color w:val="000000"/>
          <w:sz w:val="24"/>
          <w:szCs w:val="24"/>
          <w:lang w:eastAsia="en-GB"/>
        </w:rPr>
      </w:pPr>
      <w:r w:rsidRPr="00071E95">
        <w:rPr>
          <w:rFonts w:ascii="Times New Roman" w:hAnsi="Times New Roman"/>
          <w:i/>
          <w:color w:val="000000"/>
          <w:sz w:val="24"/>
          <w:szCs w:val="24"/>
          <w:lang w:eastAsia="en-GB"/>
        </w:rPr>
        <w:t>prevalently in employment</w:t>
      </w:r>
      <w:r w:rsidRPr="00071E95">
        <w:rPr>
          <w:rFonts w:ascii="Times New Roman" w:hAnsi="Times New Roman"/>
          <w:color w:val="000000"/>
          <w:sz w:val="24"/>
          <w:szCs w:val="24"/>
          <w:lang w:eastAsia="en-GB"/>
        </w:rPr>
        <w:t>: trajectories including a long employment spell (at least 12 consecutive months), few spells of non-employment (unemployment, inactivity, or education), a low number of status changes (two at most);</w:t>
      </w:r>
    </w:p>
    <w:p w14:paraId="4CB62A01" w14:textId="77777777" w:rsidR="00890FBB" w:rsidRPr="00071E95" w:rsidRDefault="00890FBB" w:rsidP="00F21BA0">
      <w:pPr>
        <w:pStyle w:val="Paragrafoelenco"/>
        <w:numPr>
          <w:ilvl w:val="0"/>
          <w:numId w:val="2"/>
        </w:numPr>
        <w:spacing w:after="120" w:line="300" w:lineRule="auto"/>
        <w:ind w:left="425" w:hanging="357"/>
        <w:jc w:val="both"/>
        <w:rPr>
          <w:rFonts w:ascii="Times New Roman" w:hAnsi="Times New Roman"/>
          <w:color w:val="000000"/>
          <w:sz w:val="24"/>
          <w:szCs w:val="24"/>
          <w:lang w:eastAsia="en-GB"/>
        </w:rPr>
      </w:pPr>
      <w:r w:rsidRPr="00071E95">
        <w:rPr>
          <w:rFonts w:ascii="Times New Roman" w:hAnsi="Times New Roman"/>
          <w:i/>
          <w:color w:val="000000"/>
          <w:sz w:val="24"/>
          <w:szCs w:val="24"/>
          <w:lang w:eastAsia="en-GB"/>
        </w:rPr>
        <w:t>prevalently in unemployment</w:t>
      </w:r>
      <w:r w:rsidRPr="00071E95">
        <w:rPr>
          <w:rFonts w:ascii="Times New Roman" w:hAnsi="Times New Roman"/>
          <w:color w:val="000000"/>
          <w:sz w:val="24"/>
          <w:szCs w:val="24"/>
          <w:lang w:eastAsia="en-GB"/>
        </w:rPr>
        <w:t>: trajectories with a long unemployment spell (at least 12 consecutive months), few spells of employment or inactivity/education, a low number of status changes (two at most);</w:t>
      </w:r>
    </w:p>
    <w:p w14:paraId="60B6133C" w14:textId="77777777" w:rsidR="00890FBB" w:rsidRPr="00071E95" w:rsidRDefault="00890FBB" w:rsidP="00890FBB">
      <w:pPr>
        <w:pStyle w:val="Paragrafoelenco"/>
        <w:numPr>
          <w:ilvl w:val="0"/>
          <w:numId w:val="2"/>
        </w:numPr>
        <w:spacing w:after="120" w:line="300" w:lineRule="auto"/>
        <w:ind w:left="426"/>
        <w:contextualSpacing w:val="0"/>
        <w:jc w:val="both"/>
        <w:rPr>
          <w:rFonts w:ascii="Times New Roman" w:hAnsi="Times New Roman"/>
          <w:color w:val="000000"/>
          <w:sz w:val="24"/>
          <w:szCs w:val="24"/>
          <w:lang w:eastAsia="en-GB"/>
        </w:rPr>
      </w:pPr>
      <w:r w:rsidRPr="00071E95">
        <w:rPr>
          <w:rFonts w:ascii="Times New Roman" w:hAnsi="Times New Roman"/>
          <w:i/>
          <w:color w:val="000000"/>
          <w:sz w:val="24"/>
          <w:szCs w:val="24"/>
          <w:lang w:eastAsia="en-GB"/>
        </w:rPr>
        <w:t>return to education</w:t>
      </w:r>
      <w:r w:rsidRPr="00071E95">
        <w:rPr>
          <w:rFonts w:ascii="Times New Roman" w:hAnsi="Times New Roman"/>
          <w:color w:val="000000"/>
          <w:sz w:val="24"/>
          <w:szCs w:val="24"/>
          <w:lang w:eastAsia="en-GB"/>
        </w:rPr>
        <w:t>: returned in full-time education for at least six consecutive months. I</w:t>
      </w:r>
      <w:r w:rsidRPr="00071E95">
        <w:rPr>
          <w:rFonts w:ascii="Times New Roman" w:hAnsi="Times New Roman"/>
          <w:sz w:val="24"/>
          <w:szCs w:val="24"/>
        </w:rPr>
        <w:t>ndividuals who return to education are considered as a separate group because their decision might change their future prospects.</w:t>
      </w:r>
      <w:r w:rsidRPr="00071E95">
        <w:rPr>
          <w:rFonts w:ascii="Times New Roman" w:hAnsi="Times New Roman"/>
          <w:color w:val="000000"/>
          <w:sz w:val="24"/>
          <w:szCs w:val="24"/>
          <w:lang w:eastAsia="en-GB"/>
        </w:rPr>
        <w:t xml:space="preserve"> </w:t>
      </w:r>
    </w:p>
    <w:p w14:paraId="499DA45F" w14:textId="3E0FCAB0" w:rsidR="00890FBB" w:rsidRDefault="00890FBB" w:rsidP="00890FBB">
      <w:pPr>
        <w:spacing w:after="120" w:line="300" w:lineRule="auto"/>
        <w:jc w:val="both"/>
        <w:rPr>
          <w:rFonts w:ascii="Times New Roman" w:hAnsi="Times New Roman"/>
          <w:sz w:val="24"/>
          <w:szCs w:val="24"/>
        </w:rPr>
      </w:pPr>
      <w:r w:rsidRPr="00071E95">
        <w:rPr>
          <w:rFonts w:ascii="Times New Roman" w:hAnsi="Times New Roman"/>
          <w:sz w:val="24"/>
          <w:szCs w:val="24"/>
        </w:rPr>
        <w:t xml:space="preserve">Before the crisis (2004-2008), one in five individuals had an insecure trajectory, with a similar incidence of ‘prevalently unemployed’ and ‘prevalently inactive’ (slightly less than </w:t>
      </w:r>
      <w:r w:rsidRPr="00071E95">
        <w:rPr>
          <w:rFonts w:ascii="Times New Roman" w:hAnsi="Times New Roman"/>
          <w:sz w:val="24"/>
          <w:szCs w:val="24"/>
        </w:rPr>
        <w:lastRenderedPageBreak/>
        <w:t>40% of the insecure group) and a somewhat lower incidence of ‘in&amp;out’ (slightly more than 20%)</w:t>
      </w:r>
      <w:r w:rsidR="00CA3947" w:rsidRPr="00071E95">
        <w:rPr>
          <w:rFonts w:ascii="Times New Roman" w:hAnsi="Times New Roman"/>
          <w:sz w:val="24"/>
          <w:szCs w:val="24"/>
        </w:rPr>
        <w:t xml:space="preserve"> (see </w:t>
      </w:r>
      <w:r w:rsidR="00014EF8">
        <w:rPr>
          <w:rFonts w:ascii="Times New Roman" w:hAnsi="Times New Roman"/>
          <w:sz w:val="24"/>
          <w:szCs w:val="24"/>
        </w:rPr>
        <w:t>chart</w:t>
      </w:r>
      <w:r w:rsidR="00CA3947" w:rsidRPr="00071E95">
        <w:rPr>
          <w:rFonts w:ascii="Times New Roman" w:hAnsi="Times New Roman"/>
          <w:sz w:val="24"/>
          <w:szCs w:val="24"/>
        </w:rPr>
        <w:t xml:space="preserve"> 1)</w:t>
      </w:r>
      <w:r w:rsidRPr="00071E95">
        <w:rPr>
          <w:rFonts w:ascii="Times New Roman" w:hAnsi="Times New Roman"/>
          <w:sz w:val="24"/>
          <w:szCs w:val="24"/>
        </w:rPr>
        <w:t xml:space="preserve">. The remaining four </w:t>
      </w:r>
      <w:r w:rsidR="00772655" w:rsidRPr="00071E95">
        <w:rPr>
          <w:rFonts w:ascii="Times New Roman" w:hAnsi="Times New Roman"/>
          <w:sz w:val="24"/>
          <w:szCs w:val="24"/>
        </w:rPr>
        <w:t>fifths of</w:t>
      </w:r>
      <w:r w:rsidRPr="00071E95">
        <w:rPr>
          <w:rFonts w:ascii="Times New Roman" w:hAnsi="Times New Roman"/>
          <w:sz w:val="24"/>
          <w:szCs w:val="24"/>
        </w:rPr>
        <w:t xml:space="preserve"> individuals had a secure trajectory, with the majority being ‘employment-secure’ (70%). There was, however, a large variability of these shares across countries. The share of young individuals with an insecure trajectory varied between 5% (DK) to 33% (BG). This incidence was higher in CEE and Mediterranean countries and lower in Nordic countries, but with exceptions. For example, the share of insecure trajectories was large in Finland (24%), but below the average in Spain and Portugal (18% and 16%, respectively), and very low in Romania (5%).</w:t>
      </w:r>
      <w:r>
        <w:rPr>
          <w:rFonts w:ascii="Times New Roman" w:hAnsi="Times New Roman"/>
          <w:sz w:val="24"/>
          <w:szCs w:val="24"/>
        </w:rPr>
        <w:t xml:space="preserve"> </w:t>
      </w:r>
    </w:p>
    <w:p w14:paraId="5CEFD98F" w14:textId="689361FC" w:rsidR="00992BA1" w:rsidRDefault="00992BA1">
      <w:pPr>
        <w:jc w:val="left"/>
      </w:pPr>
    </w:p>
    <w:p w14:paraId="39BDC896" w14:textId="2A7E0E8F" w:rsidR="00992BA1" w:rsidRPr="009367EE" w:rsidRDefault="009012A3" w:rsidP="00992BA1">
      <w:pPr>
        <w:spacing w:after="60"/>
        <w:rPr>
          <w:rFonts w:ascii="Times New Roman" w:hAnsi="Times New Roman"/>
        </w:rPr>
      </w:pPr>
      <w:r w:rsidRPr="009367EE">
        <w:rPr>
          <w:rFonts w:ascii="Times New Roman" w:hAnsi="Times New Roman"/>
        </w:rPr>
        <w:t>Chart</w:t>
      </w:r>
      <w:r w:rsidR="00992BA1" w:rsidRPr="009367EE">
        <w:rPr>
          <w:rFonts w:ascii="Times New Roman" w:hAnsi="Times New Roman"/>
        </w:rPr>
        <w:t xml:space="preserve"> 1 Variation in different trajectory types between 2008/09-2011/12 and 2004/05-2007/8 (pp)</w:t>
      </w:r>
    </w:p>
    <w:p w14:paraId="40C4E404" w14:textId="77777777" w:rsidR="00992BA1" w:rsidRDefault="00992BA1" w:rsidP="00992BA1">
      <w:pPr>
        <w:spacing w:after="120"/>
      </w:pPr>
      <w:r>
        <w:rPr>
          <w:noProof/>
          <w:lang w:val="it-IT" w:eastAsia="it-IT"/>
        </w:rPr>
        <w:drawing>
          <wp:inline distT="0" distB="0" distL="0" distR="0" wp14:anchorId="13A2C9E9" wp14:editId="6728BAF2">
            <wp:extent cx="5731510" cy="3705225"/>
            <wp:effectExtent l="0" t="0" r="2540" b="9525"/>
            <wp:docPr id="3" name="Chart 3">
              <a:extLst xmlns:a="http://schemas.openxmlformats.org/drawingml/2006/main">
                <a:ext uri="{FF2B5EF4-FFF2-40B4-BE49-F238E27FC236}">
                  <a16:creationId xmlns:a16="http://schemas.microsoft.com/office/drawing/2014/main" id="{133A53D6-9950-45B8-B1D8-32CA3D68634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C6C548E" w14:textId="77777777" w:rsidR="00992BA1" w:rsidRPr="009C001E" w:rsidRDefault="00992BA1" w:rsidP="00992BA1">
      <w:pPr>
        <w:jc w:val="left"/>
        <w:rPr>
          <w:sz w:val="18"/>
          <w:szCs w:val="18"/>
        </w:rPr>
      </w:pPr>
      <w:r w:rsidRPr="009C001E">
        <w:rPr>
          <w:sz w:val="18"/>
          <w:szCs w:val="18"/>
        </w:rPr>
        <w:t xml:space="preserve">Note: </w:t>
      </w:r>
      <w:r w:rsidRPr="009C001E">
        <w:rPr>
          <w:i/>
          <w:sz w:val="18"/>
          <w:szCs w:val="18"/>
        </w:rPr>
        <w:t>a</w:t>
      </w:r>
      <w:r w:rsidRPr="009C001E">
        <w:rPr>
          <w:sz w:val="18"/>
          <w:szCs w:val="18"/>
        </w:rPr>
        <w:t xml:space="preserve"> between 2008/09-2011/12; </w:t>
      </w:r>
      <w:r w:rsidRPr="009C001E">
        <w:rPr>
          <w:i/>
          <w:sz w:val="18"/>
          <w:szCs w:val="18"/>
        </w:rPr>
        <w:t>b</w:t>
      </w:r>
      <w:r w:rsidRPr="009C001E">
        <w:rPr>
          <w:sz w:val="18"/>
          <w:szCs w:val="18"/>
        </w:rPr>
        <w:t xml:space="preserve"> 2004/05-2007/08.</w:t>
      </w:r>
    </w:p>
    <w:p w14:paraId="42F4A307" w14:textId="77777777" w:rsidR="00992BA1" w:rsidRPr="009C001E" w:rsidRDefault="00992BA1" w:rsidP="00992BA1">
      <w:pPr>
        <w:spacing w:after="120"/>
        <w:jc w:val="left"/>
        <w:rPr>
          <w:sz w:val="18"/>
          <w:szCs w:val="18"/>
        </w:rPr>
      </w:pPr>
      <w:r w:rsidRPr="009C001E">
        <w:rPr>
          <w:sz w:val="18"/>
          <w:szCs w:val="18"/>
        </w:rPr>
        <w:t>Source: Authors’ calculations based on EU-SILC longitudinal data (2006-2012).</w:t>
      </w:r>
    </w:p>
    <w:p w14:paraId="375E7ECE" w14:textId="172CE989" w:rsidR="0024597D" w:rsidRDefault="00D71601" w:rsidP="00B534EB">
      <w:pPr>
        <w:spacing w:before="360" w:after="120" w:line="300" w:lineRule="auto"/>
        <w:jc w:val="both"/>
        <w:rPr>
          <w:rFonts w:ascii="Times New Roman" w:hAnsi="Times New Roman"/>
          <w:b/>
          <w:caps/>
          <w:sz w:val="24"/>
          <w:szCs w:val="24"/>
        </w:rPr>
      </w:pPr>
      <w:r>
        <w:rPr>
          <w:rFonts w:ascii="Times New Roman" w:hAnsi="Times New Roman"/>
          <w:b/>
          <w:caps/>
          <w:sz w:val="24"/>
          <w:szCs w:val="24"/>
        </w:rPr>
        <w:t>4</w:t>
      </w:r>
      <w:r w:rsidR="0024597D" w:rsidRPr="00E86E0E">
        <w:rPr>
          <w:rFonts w:ascii="Times New Roman" w:hAnsi="Times New Roman"/>
          <w:b/>
          <w:caps/>
          <w:sz w:val="24"/>
          <w:szCs w:val="24"/>
        </w:rPr>
        <w:t>. Analysis of policy making</w:t>
      </w:r>
    </w:p>
    <w:p w14:paraId="044FD0B3" w14:textId="171E0F15" w:rsidR="00206460" w:rsidRDefault="00206460" w:rsidP="00206460">
      <w:pPr>
        <w:spacing w:after="120" w:line="300" w:lineRule="auto"/>
        <w:jc w:val="both"/>
        <w:rPr>
          <w:rFonts w:ascii="Times New Roman" w:hAnsi="Times New Roman"/>
          <w:sz w:val="24"/>
          <w:szCs w:val="24"/>
        </w:rPr>
      </w:pPr>
      <w:r>
        <w:rPr>
          <w:rFonts w:ascii="Times New Roman" w:hAnsi="Times New Roman"/>
          <w:sz w:val="24"/>
          <w:szCs w:val="24"/>
        </w:rPr>
        <w:t xml:space="preserve">We can </w:t>
      </w:r>
      <w:r w:rsidRPr="00E86E0E">
        <w:rPr>
          <w:rFonts w:ascii="Times New Roman" w:hAnsi="Times New Roman"/>
          <w:sz w:val="24"/>
          <w:szCs w:val="24"/>
        </w:rPr>
        <w:t xml:space="preserve">complement the analysis of </w:t>
      </w:r>
      <w:r>
        <w:rPr>
          <w:rFonts w:ascii="Times New Roman" w:hAnsi="Times New Roman"/>
          <w:sz w:val="24"/>
          <w:szCs w:val="24"/>
        </w:rPr>
        <w:t xml:space="preserve">the quality of employment </w:t>
      </w:r>
      <w:r w:rsidRPr="00E86E0E">
        <w:rPr>
          <w:rFonts w:ascii="Times New Roman" w:hAnsi="Times New Roman"/>
          <w:sz w:val="24"/>
          <w:szCs w:val="24"/>
        </w:rPr>
        <w:t xml:space="preserve">trajectories </w:t>
      </w:r>
      <w:r>
        <w:rPr>
          <w:rFonts w:ascii="Times New Roman" w:hAnsi="Times New Roman"/>
          <w:sz w:val="24"/>
          <w:szCs w:val="24"/>
        </w:rPr>
        <w:t xml:space="preserve">of </w:t>
      </w:r>
      <w:r w:rsidRPr="00E86E0E">
        <w:rPr>
          <w:rFonts w:ascii="Times New Roman" w:hAnsi="Times New Roman"/>
          <w:sz w:val="24"/>
          <w:szCs w:val="24"/>
        </w:rPr>
        <w:t xml:space="preserve">young people </w:t>
      </w:r>
      <w:r>
        <w:rPr>
          <w:rFonts w:ascii="Times New Roman" w:hAnsi="Times New Roman"/>
          <w:sz w:val="24"/>
          <w:szCs w:val="24"/>
        </w:rPr>
        <w:t>within member states by exploring</w:t>
      </w:r>
      <w:r w:rsidRPr="00E86E0E">
        <w:rPr>
          <w:rFonts w:ascii="Times New Roman" w:hAnsi="Times New Roman"/>
          <w:sz w:val="24"/>
          <w:szCs w:val="24"/>
        </w:rPr>
        <w:t xml:space="preserve"> policy</w:t>
      </w:r>
      <w:r>
        <w:rPr>
          <w:rFonts w:ascii="Times New Roman" w:hAnsi="Times New Roman"/>
          <w:sz w:val="24"/>
          <w:szCs w:val="24"/>
        </w:rPr>
        <w:t>-</w:t>
      </w:r>
      <w:r w:rsidRPr="00E86E0E">
        <w:rPr>
          <w:rFonts w:ascii="Times New Roman" w:hAnsi="Times New Roman"/>
          <w:sz w:val="24"/>
          <w:szCs w:val="24"/>
        </w:rPr>
        <w:t>making activity</w:t>
      </w:r>
      <w:r w:rsidR="00CF468B">
        <w:rPr>
          <w:rFonts w:ascii="Times New Roman" w:hAnsi="Times New Roman"/>
          <w:sz w:val="24"/>
          <w:szCs w:val="24"/>
        </w:rPr>
        <w:t xml:space="preserve"> on labour market reforms</w:t>
      </w:r>
      <w:r>
        <w:rPr>
          <w:rFonts w:ascii="Times New Roman" w:hAnsi="Times New Roman"/>
          <w:sz w:val="24"/>
          <w:szCs w:val="24"/>
        </w:rPr>
        <w:t>, distinguishing between</w:t>
      </w:r>
      <w:r w:rsidRPr="00E86E0E">
        <w:rPr>
          <w:rFonts w:ascii="Times New Roman" w:hAnsi="Times New Roman"/>
          <w:sz w:val="24"/>
          <w:szCs w:val="24"/>
        </w:rPr>
        <w:t xml:space="preserve"> before (200</w:t>
      </w:r>
      <w:r>
        <w:rPr>
          <w:rFonts w:ascii="Times New Roman" w:hAnsi="Times New Roman"/>
          <w:sz w:val="24"/>
          <w:szCs w:val="24"/>
        </w:rPr>
        <w:t>4</w:t>
      </w:r>
      <w:r w:rsidRPr="00E86E0E">
        <w:rPr>
          <w:rFonts w:ascii="Times New Roman" w:hAnsi="Times New Roman"/>
          <w:sz w:val="24"/>
          <w:szCs w:val="24"/>
        </w:rPr>
        <w:t>-2007) and during the crisis (2008-201</w:t>
      </w:r>
      <w:r>
        <w:rPr>
          <w:rFonts w:ascii="Times New Roman" w:hAnsi="Times New Roman"/>
          <w:sz w:val="24"/>
          <w:szCs w:val="24"/>
        </w:rPr>
        <w:t>2</w:t>
      </w:r>
      <w:r w:rsidRPr="00E86E0E">
        <w:rPr>
          <w:rFonts w:ascii="Times New Roman" w:hAnsi="Times New Roman"/>
          <w:sz w:val="24"/>
          <w:szCs w:val="24"/>
        </w:rPr>
        <w:t xml:space="preserve">). These analyses not only contextualise the shifting institutional environments </w:t>
      </w:r>
      <w:r>
        <w:rPr>
          <w:rFonts w:ascii="Times New Roman" w:hAnsi="Times New Roman"/>
          <w:sz w:val="24"/>
          <w:szCs w:val="24"/>
        </w:rPr>
        <w:t>but also permit the exploration of the relationship between labour market conditions and policy responses</w:t>
      </w:r>
      <w:r w:rsidRPr="00E86E0E">
        <w:rPr>
          <w:rFonts w:ascii="Times New Roman" w:hAnsi="Times New Roman"/>
          <w:sz w:val="24"/>
          <w:szCs w:val="24"/>
        </w:rPr>
        <w:t xml:space="preserve">. </w:t>
      </w:r>
      <w:r>
        <w:rPr>
          <w:rFonts w:ascii="Times New Roman" w:hAnsi="Times New Roman"/>
          <w:sz w:val="24"/>
          <w:szCs w:val="24"/>
        </w:rPr>
        <w:t>By measuring policy intensity – average number of policies enacted per year as recorded by LABREF - we highlight the scale of policy activity and their relationship with labour market conditions for young people.</w:t>
      </w:r>
    </w:p>
    <w:p w14:paraId="01EAAE2E" w14:textId="06FBEC78" w:rsidR="00507249" w:rsidRDefault="00206460" w:rsidP="00206460">
      <w:pPr>
        <w:spacing w:after="120" w:line="300" w:lineRule="auto"/>
        <w:jc w:val="both"/>
        <w:rPr>
          <w:rFonts w:ascii="Times New Roman" w:hAnsi="Times New Roman"/>
          <w:sz w:val="24"/>
          <w:szCs w:val="24"/>
        </w:rPr>
      </w:pPr>
      <w:r>
        <w:rPr>
          <w:rFonts w:ascii="Times New Roman" w:hAnsi="Times New Roman"/>
          <w:sz w:val="24"/>
          <w:szCs w:val="24"/>
        </w:rPr>
        <w:lastRenderedPageBreak/>
        <w:t xml:space="preserve">In order to explore these relationships further, </w:t>
      </w:r>
      <w:r w:rsidR="009012A3">
        <w:rPr>
          <w:rFonts w:ascii="Times New Roman" w:hAnsi="Times New Roman"/>
          <w:sz w:val="24"/>
          <w:szCs w:val="24"/>
        </w:rPr>
        <w:t>chart</w:t>
      </w:r>
      <w:r>
        <w:rPr>
          <w:rFonts w:ascii="Times New Roman" w:hAnsi="Times New Roman"/>
          <w:sz w:val="24"/>
          <w:szCs w:val="24"/>
        </w:rPr>
        <w:t xml:space="preserve"> </w:t>
      </w:r>
      <w:r w:rsidR="00133260">
        <w:rPr>
          <w:rFonts w:ascii="Times New Roman" w:hAnsi="Times New Roman"/>
          <w:sz w:val="24"/>
          <w:szCs w:val="24"/>
        </w:rPr>
        <w:t>2</w:t>
      </w:r>
      <w:r>
        <w:rPr>
          <w:rFonts w:ascii="Times New Roman" w:hAnsi="Times New Roman"/>
          <w:sz w:val="24"/>
          <w:szCs w:val="24"/>
        </w:rPr>
        <w:t xml:space="preserve"> </w:t>
      </w:r>
      <w:r w:rsidR="00507249">
        <w:rPr>
          <w:rFonts w:ascii="Times New Roman" w:hAnsi="Times New Roman"/>
          <w:sz w:val="24"/>
          <w:szCs w:val="24"/>
        </w:rPr>
        <w:t>present</w:t>
      </w:r>
      <w:r w:rsidR="00133260">
        <w:rPr>
          <w:rFonts w:ascii="Times New Roman" w:hAnsi="Times New Roman"/>
          <w:sz w:val="24"/>
          <w:szCs w:val="24"/>
        </w:rPr>
        <w:t>s</w:t>
      </w:r>
      <w:r w:rsidR="00507249">
        <w:rPr>
          <w:rFonts w:ascii="Times New Roman" w:hAnsi="Times New Roman"/>
          <w:sz w:val="24"/>
          <w:szCs w:val="24"/>
        </w:rPr>
        <w:t xml:space="preserve"> two groups of </w:t>
      </w:r>
      <w:r>
        <w:rPr>
          <w:rFonts w:ascii="Times New Roman" w:hAnsi="Times New Roman"/>
          <w:sz w:val="24"/>
          <w:szCs w:val="24"/>
        </w:rPr>
        <w:t xml:space="preserve">countries: firstly, those countries with more stable youth labour market performance (no more than a +3pp rise in insecure trajectories); and, secondly, those with more significant increases in insecure trajectories. These </w:t>
      </w:r>
      <w:r w:rsidR="00507249">
        <w:rPr>
          <w:rFonts w:ascii="Times New Roman" w:hAnsi="Times New Roman"/>
          <w:sz w:val="24"/>
          <w:szCs w:val="24"/>
        </w:rPr>
        <w:t xml:space="preserve">two </w:t>
      </w:r>
      <w:r w:rsidR="009012A3">
        <w:rPr>
          <w:rFonts w:ascii="Times New Roman" w:hAnsi="Times New Roman"/>
          <w:sz w:val="24"/>
          <w:szCs w:val="24"/>
        </w:rPr>
        <w:t>chart</w:t>
      </w:r>
      <w:r>
        <w:rPr>
          <w:rFonts w:ascii="Times New Roman" w:hAnsi="Times New Roman"/>
          <w:sz w:val="24"/>
          <w:szCs w:val="24"/>
        </w:rPr>
        <w:t xml:space="preserve">s </w:t>
      </w:r>
      <w:r w:rsidR="00534FD4">
        <w:rPr>
          <w:rFonts w:ascii="Times New Roman" w:hAnsi="Times New Roman"/>
          <w:sz w:val="24"/>
          <w:szCs w:val="24"/>
        </w:rPr>
        <w:t xml:space="preserve">describe </w:t>
      </w:r>
      <w:r>
        <w:rPr>
          <w:rFonts w:ascii="Times New Roman" w:hAnsi="Times New Roman"/>
          <w:sz w:val="24"/>
          <w:szCs w:val="24"/>
        </w:rPr>
        <w:t>the policy</w:t>
      </w:r>
      <w:r w:rsidR="00507249">
        <w:rPr>
          <w:rFonts w:ascii="Times New Roman" w:hAnsi="Times New Roman"/>
          <w:sz w:val="24"/>
          <w:szCs w:val="24"/>
        </w:rPr>
        <w:t>-</w:t>
      </w:r>
      <w:r>
        <w:rPr>
          <w:rFonts w:ascii="Times New Roman" w:hAnsi="Times New Roman"/>
          <w:sz w:val="24"/>
          <w:szCs w:val="24"/>
        </w:rPr>
        <w:t xml:space="preserve">making responses </w:t>
      </w:r>
      <w:r w:rsidR="00534FD4">
        <w:rPr>
          <w:rFonts w:ascii="Times New Roman" w:hAnsi="Times New Roman"/>
          <w:sz w:val="24"/>
          <w:szCs w:val="24"/>
        </w:rPr>
        <w:t xml:space="preserve">(in terms of intensity) </w:t>
      </w:r>
      <w:r>
        <w:rPr>
          <w:rFonts w:ascii="Times New Roman" w:hAnsi="Times New Roman"/>
          <w:sz w:val="24"/>
          <w:szCs w:val="24"/>
        </w:rPr>
        <w:t xml:space="preserve">across countries in relation to </w:t>
      </w:r>
      <w:r w:rsidR="00084B2E">
        <w:rPr>
          <w:rFonts w:ascii="Times New Roman" w:hAnsi="Times New Roman"/>
          <w:sz w:val="24"/>
          <w:szCs w:val="24"/>
        </w:rPr>
        <w:t xml:space="preserve">young adults’ </w:t>
      </w:r>
      <w:r>
        <w:rPr>
          <w:rFonts w:ascii="Times New Roman" w:hAnsi="Times New Roman"/>
          <w:sz w:val="24"/>
          <w:szCs w:val="24"/>
        </w:rPr>
        <w:t xml:space="preserve">labour market performance. </w:t>
      </w:r>
    </w:p>
    <w:p w14:paraId="7E98AF45" w14:textId="2037765D" w:rsidR="00206460" w:rsidRDefault="009012A3" w:rsidP="00206460">
      <w:pPr>
        <w:spacing w:after="120" w:line="300" w:lineRule="auto"/>
        <w:jc w:val="both"/>
        <w:rPr>
          <w:rFonts w:ascii="Times New Roman" w:hAnsi="Times New Roman"/>
          <w:sz w:val="24"/>
          <w:szCs w:val="24"/>
        </w:rPr>
      </w:pPr>
      <w:r>
        <w:rPr>
          <w:rFonts w:ascii="Times New Roman" w:hAnsi="Times New Roman"/>
          <w:sz w:val="24"/>
          <w:szCs w:val="24"/>
        </w:rPr>
        <w:t>Chart</w:t>
      </w:r>
      <w:r w:rsidR="00507249">
        <w:rPr>
          <w:rFonts w:ascii="Times New Roman" w:hAnsi="Times New Roman"/>
          <w:sz w:val="24"/>
          <w:szCs w:val="24"/>
        </w:rPr>
        <w:t xml:space="preserve"> </w:t>
      </w:r>
      <w:r w:rsidR="00133260">
        <w:rPr>
          <w:rFonts w:ascii="Times New Roman" w:hAnsi="Times New Roman"/>
          <w:sz w:val="24"/>
          <w:szCs w:val="24"/>
        </w:rPr>
        <w:t>2</w:t>
      </w:r>
      <w:r w:rsidR="00507249">
        <w:rPr>
          <w:rFonts w:ascii="Times New Roman" w:hAnsi="Times New Roman"/>
          <w:sz w:val="24"/>
          <w:szCs w:val="24"/>
        </w:rPr>
        <w:t xml:space="preserve"> </w:t>
      </w:r>
      <w:r w:rsidR="004258D8">
        <w:rPr>
          <w:rFonts w:ascii="Times New Roman" w:hAnsi="Times New Roman"/>
          <w:sz w:val="24"/>
          <w:szCs w:val="24"/>
        </w:rPr>
        <w:t>considers the countries with</w:t>
      </w:r>
      <w:r w:rsidR="00206460">
        <w:rPr>
          <w:rFonts w:ascii="Times New Roman" w:hAnsi="Times New Roman"/>
          <w:sz w:val="24"/>
          <w:szCs w:val="24"/>
        </w:rPr>
        <w:t xml:space="preserve"> more stable labour market performance (as measured by the small change in insecure trajectories)</w:t>
      </w:r>
      <w:r w:rsidR="004258D8">
        <w:rPr>
          <w:rFonts w:ascii="Times New Roman" w:hAnsi="Times New Roman"/>
          <w:sz w:val="24"/>
          <w:szCs w:val="24"/>
        </w:rPr>
        <w:t>. They show</w:t>
      </w:r>
      <w:r w:rsidR="00206460">
        <w:rPr>
          <w:rFonts w:ascii="Times New Roman" w:hAnsi="Times New Roman"/>
          <w:sz w:val="24"/>
          <w:szCs w:val="24"/>
        </w:rPr>
        <w:t xml:space="preserve"> a diverse range of changes in intensity of policy making. We find both countries with relatively stable </w:t>
      </w:r>
      <w:r w:rsidR="004A539B">
        <w:rPr>
          <w:rFonts w:ascii="Times New Roman" w:hAnsi="Times New Roman"/>
          <w:sz w:val="24"/>
          <w:szCs w:val="24"/>
        </w:rPr>
        <w:t xml:space="preserve">labour market </w:t>
      </w:r>
      <w:r w:rsidR="00206460">
        <w:rPr>
          <w:rFonts w:ascii="Times New Roman" w:hAnsi="Times New Roman"/>
          <w:sz w:val="24"/>
          <w:szCs w:val="24"/>
        </w:rPr>
        <w:t xml:space="preserve">policy </w:t>
      </w:r>
      <w:r w:rsidR="0031163A">
        <w:rPr>
          <w:rFonts w:ascii="Times New Roman" w:hAnsi="Times New Roman"/>
          <w:sz w:val="24"/>
          <w:szCs w:val="24"/>
        </w:rPr>
        <w:t xml:space="preserve">environments </w:t>
      </w:r>
      <w:r w:rsidR="00206460">
        <w:rPr>
          <w:rFonts w:ascii="Times New Roman" w:hAnsi="Times New Roman"/>
          <w:sz w:val="24"/>
          <w:szCs w:val="24"/>
        </w:rPr>
        <w:t xml:space="preserve">(BG, DK, FR, LU, SI) and countries with numerous </w:t>
      </w:r>
      <w:r w:rsidR="00C12196">
        <w:rPr>
          <w:rFonts w:ascii="Times New Roman" w:hAnsi="Times New Roman"/>
          <w:sz w:val="24"/>
          <w:szCs w:val="24"/>
        </w:rPr>
        <w:t xml:space="preserve">labour market </w:t>
      </w:r>
      <w:r w:rsidR="00206460">
        <w:rPr>
          <w:rFonts w:ascii="Times New Roman" w:hAnsi="Times New Roman"/>
          <w:sz w:val="24"/>
          <w:szCs w:val="24"/>
        </w:rPr>
        <w:t>reforms (AT, BE, FI</w:t>
      </w:r>
      <w:r w:rsidR="00534FD4">
        <w:rPr>
          <w:rFonts w:ascii="Times New Roman" w:hAnsi="Times New Roman"/>
          <w:sz w:val="24"/>
          <w:szCs w:val="24"/>
        </w:rPr>
        <w:t>,</w:t>
      </w:r>
      <w:r w:rsidR="00206460">
        <w:rPr>
          <w:rFonts w:ascii="Times New Roman" w:hAnsi="Times New Roman"/>
          <w:sz w:val="24"/>
          <w:szCs w:val="24"/>
        </w:rPr>
        <w:t xml:space="preserve"> UK).</w:t>
      </w:r>
    </w:p>
    <w:p w14:paraId="69FD8D87" w14:textId="28B49FA7" w:rsidR="007779B6" w:rsidRPr="009367EE" w:rsidRDefault="009012A3" w:rsidP="009367EE">
      <w:pPr>
        <w:spacing w:before="240" w:after="120"/>
        <w:jc w:val="left"/>
        <w:rPr>
          <w:rFonts w:ascii="Times New Roman" w:hAnsi="Times New Roman"/>
        </w:rPr>
      </w:pPr>
      <w:r w:rsidRPr="009367EE">
        <w:rPr>
          <w:rFonts w:ascii="Times New Roman" w:hAnsi="Times New Roman"/>
        </w:rPr>
        <w:t>Chart</w:t>
      </w:r>
      <w:r w:rsidR="00133260">
        <w:rPr>
          <w:rFonts w:ascii="Times New Roman" w:hAnsi="Times New Roman"/>
        </w:rPr>
        <w:t xml:space="preserve"> 2</w:t>
      </w:r>
      <w:r w:rsidR="007779B6" w:rsidRPr="009367EE">
        <w:rPr>
          <w:rFonts w:ascii="Times New Roman" w:hAnsi="Times New Roman"/>
        </w:rPr>
        <w:t xml:space="preserve"> Countries with relatively stable youth labour market performance: changes in the share of insecure trajectories and in policy intensity before and during the crisis (2004-2007 vs 2008-2012). </w:t>
      </w:r>
    </w:p>
    <w:p w14:paraId="3F2B6E07" w14:textId="77777777" w:rsidR="007779B6" w:rsidRDefault="007779B6" w:rsidP="007779B6">
      <w:r>
        <w:rPr>
          <w:noProof/>
          <w:lang w:val="it-IT" w:eastAsia="it-IT"/>
        </w:rPr>
        <w:drawing>
          <wp:inline distT="0" distB="0" distL="0" distR="0" wp14:anchorId="38F2006A" wp14:editId="3706B801">
            <wp:extent cx="5731510" cy="3068320"/>
            <wp:effectExtent l="0" t="0" r="2540" b="17780"/>
            <wp:docPr id="1" name="Chart 1">
              <a:extLst xmlns:a="http://schemas.openxmlformats.org/drawingml/2006/main">
                <a:ext uri="{FF2B5EF4-FFF2-40B4-BE49-F238E27FC236}">
                  <a16:creationId xmlns:a16="http://schemas.microsoft.com/office/drawing/2014/main" id="{AD95C77F-8489-4BED-9A1E-AF8D750E5D3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028D14C" w14:textId="77777777" w:rsidR="007779B6" w:rsidRPr="009C001E" w:rsidRDefault="007779B6" w:rsidP="007779B6">
      <w:pPr>
        <w:suppressLineNumbers/>
        <w:spacing w:before="60" w:after="240"/>
        <w:jc w:val="left"/>
        <w:rPr>
          <w:sz w:val="18"/>
          <w:szCs w:val="18"/>
        </w:rPr>
      </w:pPr>
      <w:r w:rsidRPr="009C001E">
        <w:rPr>
          <w:sz w:val="18"/>
          <w:szCs w:val="18"/>
        </w:rPr>
        <w:t>Source: Authors’ calculations based on EU-SILC longitudinal data</w:t>
      </w:r>
      <w:r>
        <w:rPr>
          <w:sz w:val="18"/>
          <w:szCs w:val="18"/>
        </w:rPr>
        <w:t xml:space="preserve"> (2006-2012)</w:t>
      </w:r>
      <w:r w:rsidRPr="009C001E">
        <w:rPr>
          <w:sz w:val="18"/>
          <w:szCs w:val="18"/>
        </w:rPr>
        <w:t xml:space="preserve"> and LABREF database (2004-2012).</w:t>
      </w:r>
    </w:p>
    <w:p w14:paraId="4609C96C" w14:textId="77777777" w:rsidR="007779B6" w:rsidRDefault="007779B6" w:rsidP="007779B6">
      <w:pPr>
        <w:jc w:val="both"/>
      </w:pPr>
    </w:p>
    <w:p w14:paraId="6E42C2D6" w14:textId="17C8E4D9" w:rsidR="00206460" w:rsidRPr="00EF7D7D" w:rsidRDefault="00206460" w:rsidP="00206460">
      <w:pPr>
        <w:spacing w:after="120" w:line="300" w:lineRule="auto"/>
        <w:jc w:val="both"/>
        <w:rPr>
          <w:rFonts w:ascii="Times New Roman" w:hAnsi="Times New Roman"/>
          <w:sz w:val="24"/>
          <w:szCs w:val="24"/>
        </w:rPr>
      </w:pPr>
      <w:r w:rsidRPr="00EF7D7D">
        <w:rPr>
          <w:rFonts w:ascii="Times New Roman" w:hAnsi="Times New Roman"/>
          <w:sz w:val="24"/>
          <w:szCs w:val="24"/>
        </w:rPr>
        <w:t xml:space="preserve">In </w:t>
      </w:r>
      <w:r w:rsidRPr="00A16657">
        <w:rPr>
          <w:rFonts w:ascii="Times New Roman" w:hAnsi="Times New Roman"/>
          <w:sz w:val="24"/>
          <w:szCs w:val="24"/>
        </w:rPr>
        <w:t>table 1</w:t>
      </w:r>
      <w:r w:rsidRPr="00EF7D7D">
        <w:rPr>
          <w:rFonts w:ascii="Times New Roman" w:hAnsi="Times New Roman"/>
          <w:sz w:val="24"/>
          <w:szCs w:val="24"/>
        </w:rPr>
        <w:t xml:space="preserve"> we disaggregate these patterns further using the categorisation of countries according to the consequences of the crisis on insecure trajectories, </w:t>
      </w:r>
      <w:r w:rsidR="00C05EE7" w:rsidRPr="00EF7D7D">
        <w:rPr>
          <w:rFonts w:ascii="Times New Roman" w:hAnsi="Times New Roman"/>
          <w:sz w:val="24"/>
          <w:szCs w:val="24"/>
        </w:rPr>
        <w:t xml:space="preserve">illustrated </w:t>
      </w:r>
      <w:r w:rsidRPr="00EF7D7D">
        <w:rPr>
          <w:rFonts w:ascii="Times New Roman" w:hAnsi="Times New Roman"/>
          <w:sz w:val="24"/>
          <w:szCs w:val="24"/>
        </w:rPr>
        <w:t xml:space="preserve">above in section 4. Here we observe </w:t>
      </w:r>
      <w:r w:rsidR="00E8694C" w:rsidRPr="00EF7D7D">
        <w:rPr>
          <w:rFonts w:ascii="Times New Roman" w:hAnsi="Times New Roman"/>
          <w:sz w:val="24"/>
          <w:szCs w:val="24"/>
        </w:rPr>
        <w:t xml:space="preserve">that </w:t>
      </w:r>
      <w:r w:rsidRPr="00EF7D7D">
        <w:rPr>
          <w:rFonts w:ascii="Times New Roman" w:hAnsi="Times New Roman"/>
          <w:sz w:val="24"/>
          <w:szCs w:val="24"/>
        </w:rPr>
        <w:t xml:space="preserve">those countries with </w:t>
      </w:r>
      <w:r w:rsidR="001B1C86" w:rsidRPr="00EF7D7D">
        <w:rPr>
          <w:rFonts w:ascii="Times New Roman" w:hAnsi="Times New Roman"/>
          <w:sz w:val="24"/>
          <w:szCs w:val="24"/>
        </w:rPr>
        <w:t xml:space="preserve">noticeable </w:t>
      </w:r>
      <w:r w:rsidR="00E8694C" w:rsidRPr="00EF7D7D">
        <w:rPr>
          <w:rFonts w:ascii="Times New Roman" w:hAnsi="Times New Roman"/>
          <w:sz w:val="24"/>
          <w:szCs w:val="24"/>
        </w:rPr>
        <w:t>rises</w:t>
      </w:r>
      <w:r w:rsidRPr="00EF7D7D">
        <w:rPr>
          <w:rFonts w:ascii="Times New Roman" w:hAnsi="Times New Roman"/>
          <w:sz w:val="24"/>
          <w:szCs w:val="24"/>
        </w:rPr>
        <w:t xml:space="preserve"> of policy-making activit</w:t>
      </w:r>
      <w:r w:rsidR="001B1C86" w:rsidRPr="00EF7D7D">
        <w:rPr>
          <w:rFonts w:ascii="Times New Roman" w:hAnsi="Times New Roman"/>
          <w:sz w:val="24"/>
          <w:szCs w:val="24"/>
        </w:rPr>
        <w:t>y</w:t>
      </w:r>
      <w:r w:rsidRPr="00EF7D7D">
        <w:rPr>
          <w:rFonts w:ascii="Times New Roman" w:hAnsi="Times New Roman"/>
          <w:sz w:val="24"/>
          <w:szCs w:val="24"/>
        </w:rPr>
        <w:t xml:space="preserve"> and most marked consequences in terms of sharp rises in insecure trajectories included the Mediterranean group </w:t>
      </w:r>
      <w:r w:rsidR="001B1C86" w:rsidRPr="00EF7D7D">
        <w:rPr>
          <w:rFonts w:ascii="Times New Roman" w:hAnsi="Times New Roman"/>
          <w:sz w:val="24"/>
          <w:szCs w:val="24"/>
        </w:rPr>
        <w:t>(</w:t>
      </w:r>
      <w:r w:rsidR="00D32BB0" w:rsidRPr="00EF7D7D">
        <w:rPr>
          <w:rFonts w:ascii="Times New Roman" w:hAnsi="Times New Roman"/>
          <w:sz w:val="24"/>
          <w:szCs w:val="24"/>
        </w:rPr>
        <w:t xml:space="preserve">as </w:t>
      </w:r>
      <w:r w:rsidRPr="00EF7D7D">
        <w:rPr>
          <w:rFonts w:ascii="Times New Roman" w:hAnsi="Times New Roman"/>
          <w:sz w:val="24"/>
          <w:szCs w:val="24"/>
        </w:rPr>
        <w:t>identified by Stovicek and Turrini 2012)</w:t>
      </w:r>
      <w:r w:rsidR="00E8694C" w:rsidRPr="00EF7D7D">
        <w:rPr>
          <w:rFonts w:ascii="Times New Roman" w:hAnsi="Times New Roman"/>
          <w:sz w:val="24"/>
          <w:szCs w:val="24"/>
        </w:rPr>
        <w:t>; th</w:t>
      </w:r>
      <w:r w:rsidR="00084B2E" w:rsidRPr="00EF7D7D">
        <w:rPr>
          <w:rFonts w:ascii="Times New Roman" w:hAnsi="Times New Roman"/>
          <w:sz w:val="24"/>
          <w:szCs w:val="24"/>
        </w:rPr>
        <w:t>e</w:t>
      </w:r>
      <w:r w:rsidR="00E8694C" w:rsidRPr="00EF7D7D">
        <w:rPr>
          <w:rFonts w:ascii="Times New Roman" w:hAnsi="Times New Roman"/>
          <w:sz w:val="24"/>
          <w:szCs w:val="24"/>
        </w:rPr>
        <w:t>se countries</w:t>
      </w:r>
      <w:r w:rsidRPr="00EF7D7D">
        <w:rPr>
          <w:rFonts w:ascii="Times New Roman" w:hAnsi="Times New Roman"/>
          <w:sz w:val="24"/>
          <w:szCs w:val="24"/>
        </w:rPr>
        <w:t xml:space="preserve"> </w:t>
      </w:r>
      <w:r w:rsidR="00D96AD7" w:rsidRPr="00EF7D7D">
        <w:rPr>
          <w:rFonts w:ascii="Times New Roman" w:hAnsi="Times New Roman"/>
          <w:sz w:val="24"/>
          <w:szCs w:val="24"/>
        </w:rPr>
        <w:t>(EL, ES, IT, PT, along with Cyprus)</w:t>
      </w:r>
      <w:r w:rsidR="001B1C86" w:rsidRPr="00EF7D7D">
        <w:rPr>
          <w:rFonts w:ascii="Times New Roman" w:hAnsi="Times New Roman"/>
          <w:sz w:val="24"/>
          <w:szCs w:val="24"/>
        </w:rPr>
        <w:t xml:space="preserve"> </w:t>
      </w:r>
      <w:r w:rsidRPr="00EF7D7D">
        <w:rPr>
          <w:rFonts w:ascii="Times New Roman" w:hAnsi="Times New Roman"/>
          <w:sz w:val="24"/>
          <w:szCs w:val="24"/>
        </w:rPr>
        <w:t xml:space="preserve">were also subject to intense pressure to reform their labour markets by the ECB and </w:t>
      </w:r>
      <w:r w:rsidR="00D96AD7" w:rsidRPr="00EF7D7D">
        <w:rPr>
          <w:rFonts w:ascii="Times New Roman" w:hAnsi="Times New Roman"/>
          <w:sz w:val="24"/>
          <w:szCs w:val="24"/>
        </w:rPr>
        <w:t xml:space="preserve">the </w:t>
      </w:r>
      <w:r w:rsidRPr="00EF7D7D">
        <w:rPr>
          <w:rFonts w:ascii="Times New Roman" w:hAnsi="Times New Roman"/>
          <w:sz w:val="24"/>
          <w:szCs w:val="24"/>
        </w:rPr>
        <w:t xml:space="preserve">EC. We also find </w:t>
      </w:r>
      <w:r w:rsidR="00C05EE7" w:rsidRPr="00EF7D7D">
        <w:rPr>
          <w:rFonts w:ascii="Times New Roman" w:hAnsi="Times New Roman"/>
          <w:sz w:val="24"/>
          <w:szCs w:val="24"/>
        </w:rPr>
        <w:t xml:space="preserve">four CEE countries </w:t>
      </w:r>
      <w:r w:rsidRPr="00EF7D7D">
        <w:rPr>
          <w:rFonts w:ascii="Times New Roman" w:hAnsi="Times New Roman"/>
          <w:sz w:val="24"/>
          <w:szCs w:val="24"/>
        </w:rPr>
        <w:t>(L</w:t>
      </w:r>
      <w:r w:rsidR="00C05EE7" w:rsidRPr="00EF7D7D">
        <w:rPr>
          <w:rFonts w:ascii="Times New Roman" w:hAnsi="Times New Roman"/>
          <w:sz w:val="24"/>
          <w:szCs w:val="24"/>
        </w:rPr>
        <w:t>T</w:t>
      </w:r>
      <w:r w:rsidRPr="00EF7D7D">
        <w:rPr>
          <w:rFonts w:ascii="Times New Roman" w:hAnsi="Times New Roman"/>
          <w:sz w:val="24"/>
          <w:szCs w:val="24"/>
        </w:rPr>
        <w:t>, E</w:t>
      </w:r>
      <w:r w:rsidR="00D25F2C" w:rsidRPr="00EF7D7D">
        <w:rPr>
          <w:rFonts w:ascii="Times New Roman" w:hAnsi="Times New Roman"/>
          <w:sz w:val="24"/>
          <w:szCs w:val="24"/>
        </w:rPr>
        <w:t>E</w:t>
      </w:r>
      <w:r w:rsidRPr="00EF7D7D">
        <w:rPr>
          <w:rFonts w:ascii="Times New Roman" w:hAnsi="Times New Roman"/>
          <w:sz w:val="24"/>
          <w:szCs w:val="24"/>
        </w:rPr>
        <w:t>, H</w:t>
      </w:r>
      <w:r w:rsidR="00C05EE7" w:rsidRPr="00EF7D7D">
        <w:rPr>
          <w:rFonts w:ascii="Times New Roman" w:hAnsi="Times New Roman"/>
          <w:sz w:val="24"/>
          <w:szCs w:val="24"/>
        </w:rPr>
        <w:t>U,</w:t>
      </w:r>
      <w:r w:rsidRPr="00EF7D7D">
        <w:rPr>
          <w:rFonts w:ascii="Times New Roman" w:hAnsi="Times New Roman"/>
          <w:sz w:val="24"/>
          <w:szCs w:val="24"/>
        </w:rPr>
        <w:t xml:space="preserve"> S</w:t>
      </w:r>
      <w:r w:rsidR="00C05EE7" w:rsidRPr="00EF7D7D">
        <w:rPr>
          <w:rFonts w:ascii="Times New Roman" w:hAnsi="Times New Roman"/>
          <w:sz w:val="24"/>
          <w:szCs w:val="24"/>
        </w:rPr>
        <w:t>K)</w:t>
      </w:r>
      <w:r w:rsidRPr="00EF7D7D">
        <w:rPr>
          <w:rFonts w:ascii="Times New Roman" w:hAnsi="Times New Roman"/>
          <w:sz w:val="24"/>
          <w:szCs w:val="24"/>
        </w:rPr>
        <w:t xml:space="preserve"> in this group. By contrast</w:t>
      </w:r>
      <w:r w:rsidR="00E8694C" w:rsidRPr="00EF7D7D">
        <w:rPr>
          <w:rFonts w:ascii="Times New Roman" w:hAnsi="Times New Roman"/>
          <w:sz w:val="24"/>
          <w:szCs w:val="24"/>
        </w:rPr>
        <w:t>,</w:t>
      </w:r>
      <w:r w:rsidRPr="00EF7D7D">
        <w:rPr>
          <w:rFonts w:ascii="Times New Roman" w:hAnsi="Times New Roman"/>
          <w:sz w:val="24"/>
          <w:szCs w:val="24"/>
        </w:rPr>
        <w:t xml:space="preserve"> those countries with low </w:t>
      </w:r>
      <w:r w:rsidR="006D04FF" w:rsidRPr="00EF7D7D">
        <w:rPr>
          <w:rFonts w:ascii="Times New Roman" w:hAnsi="Times New Roman"/>
          <w:sz w:val="24"/>
          <w:szCs w:val="24"/>
        </w:rPr>
        <w:t xml:space="preserve">or no </w:t>
      </w:r>
      <w:r w:rsidRPr="00EF7D7D">
        <w:rPr>
          <w:rFonts w:ascii="Times New Roman" w:hAnsi="Times New Roman"/>
          <w:sz w:val="24"/>
          <w:szCs w:val="24"/>
        </w:rPr>
        <w:t xml:space="preserve">increases in policy intensities and low </w:t>
      </w:r>
      <w:r w:rsidR="006D04FF" w:rsidRPr="00EF7D7D">
        <w:rPr>
          <w:rFonts w:ascii="Times New Roman" w:hAnsi="Times New Roman"/>
          <w:sz w:val="24"/>
          <w:szCs w:val="24"/>
        </w:rPr>
        <w:t xml:space="preserve">or no </w:t>
      </w:r>
      <w:r w:rsidRPr="00EF7D7D">
        <w:rPr>
          <w:rFonts w:ascii="Times New Roman" w:hAnsi="Times New Roman"/>
          <w:sz w:val="24"/>
          <w:szCs w:val="24"/>
        </w:rPr>
        <w:t xml:space="preserve">rises in insecure trajectories include a mix from continental (FR, LU), Nordic (FI) and CEE </w:t>
      </w:r>
      <w:r w:rsidR="00386DF1" w:rsidRPr="00EF7D7D">
        <w:rPr>
          <w:rFonts w:ascii="Times New Roman" w:hAnsi="Times New Roman"/>
          <w:sz w:val="24"/>
          <w:szCs w:val="24"/>
        </w:rPr>
        <w:t xml:space="preserve">countries </w:t>
      </w:r>
      <w:r w:rsidRPr="00EF7D7D">
        <w:rPr>
          <w:rFonts w:ascii="Times New Roman" w:hAnsi="Times New Roman"/>
          <w:sz w:val="24"/>
          <w:szCs w:val="24"/>
        </w:rPr>
        <w:t>(BG</w:t>
      </w:r>
      <w:r w:rsidR="00C05EE7" w:rsidRPr="00EF7D7D">
        <w:rPr>
          <w:rFonts w:ascii="Times New Roman" w:hAnsi="Times New Roman"/>
          <w:sz w:val="24"/>
          <w:szCs w:val="24"/>
        </w:rPr>
        <w:t>,</w:t>
      </w:r>
      <w:r w:rsidRPr="00EF7D7D">
        <w:rPr>
          <w:rFonts w:ascii="Times New Roman" w:hAnsi="Times New Roman"/>
          <w:sz w:val="24"/>
          <w:szCs w:val="24"/>
        </w:rPr>
        <w:t xml:space="preserve"> SI). Similarly</w:t>
      </w:r>
      <w:r w:rsidR="00981CF5" w:rsidRPr="00EF7D7D">
        <w:rPr>
          <w:rFonts w:ascii="Times New Roman" w:hAnsi="Times New Roman"/>
          <w:sz w:val="24"/>
          <w:szCs w:val="24"/>
        </w:rPr>
        <w:t>,</w:t>
      </w:r>
      <w:r w:rsidRPr="00EF7D7D">
        <w:rPr>
          <w:rFonts w:ascii="Times New Roman" w:hAnsi="Times New Roman"/>
          <w:sz w:val="24"/>
          <w:szCs w:val="24"/>
        </w:rPr>
        <w:t xml:space="preserve"> the lower r</w:t>
      </w:r>
      <w:r w:rsidR="00386DF1" w:rsidRPr="00EF7D7D">
        <w:rPr>
          <w:rFonts w:ascii="Times New Roman" w:hAnsi="Times New Roman"/>
          <w:sz w:val="24"/>
          <w:szCs w:val="24"/>
        </w:rPr>
        <w:t>ow</w:t>
      </w:r>
      <w:r w:rsidRPr="00EF7D7D">
        <w:rPr>
          <w:rFonts w:ascii="Times New Roman" w:hAnsi="Times New Roman"/>
          <w:sz w:val="24"/>
          <w:szCs w:val="24"/>
        </w:rPr>
        <w:t xml:space="preserve"> of the table includes a representative from each of the country groupings</w:t>
      </w:r>
      <w:r w:rsidR="00E8694C" w:rsidRPr="00EF7D7D">
        <w:rPr>
          <w:rFonts w:ascii="Times New Roman" w:hAnsi="Times New Roman"/>
          <w:sz w:val="24"/>
          <w:szCs w:val="24"/>
        </w:rPr>
        <w:t>,</w:t>
      </w:r>
      <w:r w:rsidRPr="00EF7D7D">
        <w:rPr>
          <w:rFonts w:ascii="Times New Roman" w:hAnsi="Times New Roman"/>
          <w:sz w:val="24"/>
          <w:szCs w:val="24"/>
        </w:rPr>
        <w:t xml:space="preserve"> </w:t>
      </w:r>
      <w:r w:rsidR="00E8694C" w:rsidRPr="00EF7D7D">
        <w:rPr>
          <w:rFonts w:ascii="Times New Roman" w:hAnsi="Times New Roman"/>
          <w:sz w:val="24"/>
          <w:szCs w:val="24"/>
        </w:rPr>
        <w:t>including</w:t>
      </w:r>
      <w:r w:rsidRPr="00EF7D7D">
        <w:rPr>
          <w:rFonts w:ascii="Times New Roman" w:hAnsi="Times New Roman"/>
          <w:sz w:val="24"/>
          <w:szCs w:val="24"/>
        </w:rPr>
        <w:t xml:space="preserve"> countries with </w:t>
      </w:r>
      <w:r w:rsidR="00386DF1" w:rsidRPr="00EF7D7D">
        <w:rPr>
          <w:rFonts w:ascii="Times New Roman" w:hAnsi="Times New Roman"/>
          <w:sz w:val="24"/>
          <w:szCs w:val="24"/>
        </w:rPr>
        <w:t>an increase (UK</w:t>
      </w:r>
      <w:r w:rsidR="00BA27FD" w:rsidRPr="00EF7D7D">
        <w:rPr>
          <w:rFonts w:ascii="Times New Roman" w:hAnsi="Times New Roman"/>
          <w:sz w:val="24"/>
          <w:szCs w:val="24"/>
        </w:rPr>
        <w:t>,</w:t>
      </w:r>
      <w:r w:rsidR="00386DF1" w:rsidRPr="00EF7D7D">
        <w:rPr>
          <w:rFonts w:ascii="Times New Roman" w:hAnsi="Times New Roman"/>
          <w:sz w:val="24"/>
          <w:szCs w:val="24"/>
        </w:rPr>
        <w:t xml:space="preserve"> AT) and a decline of </w:t>
      </w:r>
      <w:r w:rsidR="00386DF1" w:rsidRPr="00EF7D7D">
        <w:rPr>
          <w:rFonts w:ascii="Times New Roman" w:hAnsi="Times New Roman"/>
          <w:sz w:val="24"/>
          <w:szCs w:val="24"/>
        </w:rPr>
        <w:lastRenderedPageBreak/>
        <w:t xml:space="preserve">policy-making activities </w:t>
      </w:r>
      <w:r w:rsidRPr="00EF7D7D">
        <w:rPr>
          <w:rFonts w:ascii="Times New Roman" w:hAnsi="Times New Roman"/>
          <w:sz w:val="24"/>
          <w:szCs w:val="24"/>
        </w:rPr>
        <w:t>(</w:t>
      </w:r>
      <w:r w:rsidR="00BA27FD" w:rsidRPr="00EF7D7D">
        <w:rPr>
          <w:rFonts w:ascii="Times New Roman" w:hAnsi="Times New Roman"/>
          <w:sz w:val="24"/>
          <w:szCs w:val="24"/>
        </w:rPr>
        <w:t xml:space="preserve">NL, </w:t>
      </w:r>
      <w:r w:rsidRPr="00EF7D7D">
        <w:rPr>
          <w:rFonts w:ascii="Times New Roman" w:hAnsi="Times New Roman"/>
          <w:sz w:val="24"/>
          <w:szCs w:val="24"/>
        </w:rPr>
        <w:t>PL).</w:t>
      </w:r>
      <w:r w:rsidR="00C05EE7" w:rsidRPr="00EF7D7D">
        <w:rPr>
          <w:rFonts w:ascii="Times New Roman" w:hAnsi="Times New Roman"/>
          <w:sz w:val="24"/>
          <w:szCs w:val="24"/>
        </w:rPr>
        <w:t xml:space="preserve"> </w:t>
      </w:r>
      <w:r w:rsidR="00BA27FD" w:rsidRPr="00EF7D7D">
        <w:rPr>
          <w:rFonts w:ascii="Times New Roman" w:hAnsi="Times New Roman"/>
          <w:sz w:val="24"/>
          <w:szCs w:val="24"/>
        </w:rPr>
        <w:t>Countries with</w:t>
      </w:r>
      <w:r w:rsidRPr="00EF7D7D">
        <w:rPr>
          <w:rFonts w:ascii="Times New Roman" w:hAnsi="Times New Roman"/>
          <w:sz w:val="24"/>
          <w:szCs w:val="24"/>
        </w:rPr>
        <w:t xml:space="preserve"> low </w:t>
      </w:r>
      <w:r w:rsidR="00BA27FD" w:rsidRPr="00EF7D7D">
        <w:rPr>
          <w:rFonts w:ascii="Times New Roman" w:hAnsi="Times New Roman"/>
          <w:sz w:val="24"/>
          <w:szCs w:val="24"/>
        </w:rPr>
        <w:t xml:space="preserve">or declining </w:t>
      </w:r>
      <w:r w:rsidRPr="00EF7D7D">
        <w:rPr>
          <w:rFonts w:ascii="Times New Roman" w:hAnsi="Times New Roman"/>
          <w:sz w:val="24"/>
          <w:szCs w:val="24"/>
        </w:rPr>
        <w:t xml:space="preserve">policy responses </w:t>
      </w:r>
      <w:r w:rsidR="00BA27FD" w:rsidRPr="00EF7D7D">
        <w:rPr>
          <w:rFonts w:ascii="Times New Roman" w:hAnsi="Times New Roman"/>
          <w:sz w:val="24"/>
          <w:szCs w:val="24"/>
        </w:rPr>
        <w:t xml:space="preserve">and a moderate or significant increase in insecure trajectories </w:t>
      </w:r>
      <w:r w:rsidRPr="00EF7D7D">
        <w:rPr>
          <w:rFonts w:ascii="Times New Roman" w:hAnsi="Times New Roman"/>
          <w:sz w:val="24"/>
          <w:szCs w:val="24"/>
        </w:rPr>
        <w:t xml:space="preserve">include </w:t>
      </w:r>
      <w:r w:rsidR="00BA27FD" w:rsidRPr="00EF7D7D">
        <w:rPr>
          <w:rFonts w:ascii="Times New Roman" w:hAnsi="Times New Roman"/>
          <w:sz w:val="24"/>
          <w:szCs w:val="24"/>
        </w:rPr>
        <w:t>two</w:t>
      </w:r>
      <w:r w:rsidRPr="00EF7D7D">
        <w:rPr>
          <w:rFonts w:ascii="Times New Roman" w:hAnsi="Times New Roman"/>
          <w:sz w:val="24"/>
          <w:szCs w:val="24"/>
        </w:rPr>
        <w:t xml:space="preserve"> CEE </w:t>
      </w:r>
      <w:r w:rsidR="00BA27FD" w:rsidRPr="00EF7D7D">
        <w:rPr>
          <w:rFonts w:ascii="Times New Roman" w:hAnsi="Times New Roman"/>
          <w:sz w:val="24"/>
          <w:szCs w:val="24"/>
        </w:rPr>
        <w:t xml:space="preserve">countries </w:t>
      </w:r>
      <w:r w:rsidRPr="00EF7D7D">
        <w:rPr>
          <w:rFonts w:ascii="Times New Roman" w:hAnsi="Times New Roman"/>
          <w:sz w:val="24"/>
          <w:szCs w:val="24"/>
        </w:rPr>
        <w:t>(LV</w:t>
      </w:r>
      <w:r w:rsidR="00652678" w:rsidRPr="00EF7D7D">
        <w:rPr>
          <w:rFonts w:ascii="Times New Roman" w:hAnsi="Times New Roman"/>
          <w:sz w:val="24"/>
          <w:szCs w:val="24"/>
        </w:rPr>
        <w:t>,</w:t>
      </w:r>
      <w:r w:rsidRPr="00EF7D7D">
        <w:rPr>
          <w:rFonts w:ascii="Times New Roman" w:hAnsi="Times New Roman"/>
          <w:sz w:val="24"/>
          <w:szCs w:val="24"/>
        </w:rPr>
        <w:t xml:space="preserve"> RO) and an exception among the Mediterranean grouping (MT).</w:t>
      </w:r>
    </w:p>
    <w:p w14:paraId="43EB9DF9" w14:textId="32D2675E" w:rsidR="00206460" w:rsidRPr="00E8694C" w:rsidRDefault="00DB01E3" w:rsidP="00DB01E3">
      <w:pPr>
        <w:spacing w:before="240" w:after="120"/>
        <w:jc w:val="both"/>
        <w:rPr>
          <w:rFonts w:ascii="Times New Roman" w:hAnsi="Times New Roman"/>
        </w:rPr>
      </w:pPr>
      <w:r w:rsidRPr="00E8694C">
        <w:rPr>
          <w:rFonts w:ascii="Times New Roman" w:hAnsi="Times New Roman"/>
        </w:rPr>
        <w:t>Table 1: Changes in insecure trajectories and policy making i</w:t>
      </w:r>
      <w:r w:rsidR="00206460" w:rsidRPr="00E8694C">
        <w:rPr>
          <w:rFonts w:ascii="Times New Roman" w:hAnsi="Times New Roman"/>
        </w:rPr>
        <w:t>ntensity (2004-</w:t>
      </w:r>
      <w:r w:rsidR="00E8694C" w:rsidRPr="00E8694C">
        <w:rPr>
          <w:rFonts w:ascii="Times New Roman" w:hAnsi="Times New Roman"/>
        </w:rPr>
        <w:t>200</w:t>
      </w:r>
      <w:r w:rsidR="00206460" w:rsidRPr="00E8694C">
        <w:rPr>
          <w:rFonts w:ascii="Times New Roman" w:hAnsi="Times New Roman"/>
        </w:rPr>
        <w:t>7 to 2008-</w:t>
      </w:r>
      <w:r w:rsidR="00E8694C" w:rsidRPr="00E8694C">
        <w:rPr>
          <w:rFonts w:ascii="Times New Roman" w:hAnsi="Times New Roman"/>
        </w:rPr>
        <w:t>20</w:t>
      </w:r>
      <w:r w:rsidR="00206460" w:rsidRPr="00E8694C">
        <w:rPr>
          <w:rFonts w:ascii="Times New Roman" w:hAnsi="Times New Roman"/>
        </w:rPr>
        <w:t>12)</w:t>
      </w:r>
    </w:p>
    <w:p w14:paraId="40DC95C0" w14:textId="6D67F17F" w:rsidR="00B779C7" w:rsidRPr="00103EC4" w:rsidRDefault="00B779C7" w:rsidP="00B779C7">
      <w:pPr>
        <w:spacing w:line="276" w:lineRule="auto"/>
        <w:jc w:val="both"/>
        <w:rPr>
          <w:rFonts w:ascii="Garamond" w:hAnsi="Garamond"/>
          <w:sz w:val="24"/>
          <w:szCs w:val="24"/>
          <w:lang w:val="it-IT"/>
        </w:rPr>
      </w:pPr>
    </w:p>
    <w:tbl>
      <w:tblPr>
        <w:tblW w:w="5000" w:type="pct"/>
        <w:jc w:val="center"/>
        <w:tblCellMar>
          <w:left w:w="70" w:type="dxa"/>
          <w:right w:w="70" w:type="dxa"/>
        </w:tblCellMar>
        <w:tblLook w:val="04A0" w:firstRow="1" w:lastRow="0" w:firstColumn="1" w:lastColumn="0" w:noHBand="0" w:noVBand="1"/>
      </w:tblPr>
      <w:tblGrid>
        <w:gridCol w:w="3528"/>
        <w:gridCol w:w="1370"/>
        <w:gridCol w:w="1747"/>
        <w:gridCol w:w="1030"/>
        <w:gridCol w:w="1395"/>
      </w:tblGrid>
      <w:tr w:rsidR="00B779C7" w:rsidRPr="000B143A" w14:paraId="58B5B691" w14:textId="77777777" w:rsidTr="009527D3">
        <w:trPr>
          <w:trHeight w:val="300"/>
          <w:jc w:val="center"/>
        </w:trPr>
        <w:tc>
          <w:tcPr>
            <w:tcW w:w="1945" w:type="pct"/>
            <w:tcBorders>
              <w:top w:val="single" w:sz="4" w:space="0" w:color="auto"/>
              <w:left w:val="nil"/>
              <w:bottom w:val="single" w:sz="4" w:space="0" w:color="auto"/>
              <w:right w:val="nil"/>
            </w:tcBorders>
            <w:shd w:val="clear" w:color="auto" w:fill="auto"/>
            <w:noWrap/>
            <w:vAlign w:val="bottom"/>
            <w:hideMark/>
          </w:tcPr>
          <w:p w14:paraId="6969C682" w14:textId="77777777" w:rsidR="00B779C7" w:rsidRPr="000B143A" w:rsidRDefault="00B779C7" w:rsidP="009527D3">
            <w:pPr>
              <w:rPr>
                <w:rFonts w:eastAsia="Times New Roman" w:cs="Calibri"/>
                <w:color w:val="000000"/>
                <w:lang w:val="it-IT" w:eastAsia="it-IT"/>
              </w:rPr>
            </w:pPr>
            <w:r w:rsidRPr="000B143A">
              <w:rPr>
                <w:rFonts w:eastAsia="Times New Roman" w:cs="Calibri"/>
                <w:color w:val="000000"/>
                <w:lang w:val="it-IT" w:eastAsia="it-IT"/>
              </w:rPr>
              <w:t> </w:t>
            </w:r>
          </w:p>
        </w:tc>
        <w:tc>
          <w:tcPr>
            <w:tcW w:w="1718" w:type="pct"/>
            <w:gridSpan w:val="2"/>
            <w:tcBorders>
              <w:top w:val="single" w:sz="4" w:space="0" w:color="auto"/>
              <w:left w:val="nil"/>
              <w:bottom w:val="nil"/>
              <w:right w:val="nil"/>
            </w:tcBorders>
            <w:shd w:val="clear" w:color="auto" w:fill="auto"/>
            <w:noWrap/>
            <w:vAlign w:val="bottom"/>
            <w:hideMark/>
          </w:tcPr>
          <w:p w14:paraId="19F14850" w14:textId="77777777" w:rsidR="00B779C7" w:rsidRPr="000B143A" w:rsidRDefault="00B779C7" w:rsidP="009527D3">
            <w:pPr>
              <w:rPr>
                <w:rFonts w:ascii="Garamond" w:eastAsia="Times New Roman" w:hAnsi="Garamond" w:cs="Calibri"/>
                <w:color w:val="000000"/>
                <w:lang w:val="it-IT" w:eastAsia="it-IT"/>
              </w:rPr>
            </w:pPr>
            <w:r w:rsidRPr="000B143A">
              <w:rPr>
                <w:rFonts w:ascii="Garamond" w:eastAsia="Times New Roman" w:hAnsi="Garamond" w:cs="Calibri"/>
                <w:color w:val="000000"/>
                <w:lang w:val="it-IT" w:eastAsia="it-IT"/>
              </w:rPr>
              <w:t>Campione selezionato</w:t>
            </w:r>
          </w:p>
        </w:tc>
        <w:tc>
          <w:tcPr>
            <w:tcW w:w="1337" w:type="pct"/>
            <w:gridSpan w:val="2"/>
            <w:tcBorders>
              <w:top w:val="single" w:sz="4" w:space="0" w:color="auto"/>
              <w:left w:val="nil"/>
              <w:bottom w:val="nil"/>
              <w:right w:val="nil"/>
            </w:tcBorders>
            <w:shd w:val="clear" w:color="auto" w:fill="auto"/>
            <w:noWrap/>
            <w:vAlign w:val="bottom"/>
            <w:hideMark/>
          </w:tcPr>
          <w:p w14:paraId="586FEBCB" w14:textId="77777777" w:rsidR="00B779C7" w:rsidRPr="000B143A" w:rsidRDefault="00B779C7" w:rsidP="009527D3">
            <w:pPr>
              <w:rPr>
                <w:rFonts w:ascii="Garamond" w:eastAsia="Times New Roman" w:hAnsi="Garamond" w:cs="Calibri"/>
                <w:color w:val="000000"/>
                <w:lang w:val="it-IT" w:eastAsia="it-IT"/>
              </w:rPr>
            </w:pPr>
            <w:r w:rsidRPr="000B143A">
              <w:rPr>
                <w:rFonts w:ascii="Garamond" w:eastAsia="Times New Roman" w:hAnsi="Garamond" w:cs="Calibri"/>
                <w:color w:val="000000"/>
                <w:lang w:val="it-IT" w:eastAsia="it-IT"/>
              </w:rPr>
              <w:t>Intero campione</w:t>
            </w:r>
          </w:p>
        </w:tc>
      </w:tr>
      <w:tr w:rsidR="00B779C7" w:rsidRPr="000B143A" w14:paraId="58AC1FF6" w14:textId="77777777" w:rsidTr="009527D3">
        <w:trPr>
          <w:trHeight w:val="288"/>
          <w:jc w:val="center"/>
        </w:trPr>
        <w:tc>
          <w:tcPr>
            <w:tcW w:w="1945" w:type="pct"/>
            <w:tcBorders>
              <w:top w:val="nil"/>
              <w:left w:val="nil"/>
              <w:bottom w:val="nil"/>
              <w:right w:val="nil"/>
            </w:tcBorders>
            <w:shd w:val="clear" w:color="auto" w:fill="auto"/>
            <w:noWrap/>
            <w:vAlign w:val="bottom"/>
            <w:hideMark/>
          </w:tcPr>
          <w:p w14:paraId="4E29C120" w14:textId="77777777" w:rsidR="00B779C7" w:rsidRPr="000B143A" w:rsidRDefault="00B779C7" w:rsidP="009527D3">
            <w:pPr>
              <w:rPr>
                <w:rFonts w:eastAsia="Times New Roman" w:cs="Calibri"/>
                <w:color w:val="000000"/>
                <w:lang w:val="it-IT" w:eastAsia="it-IT"/>
              </w:rPr>
            </w:pPr>
          </w:p>
        </w:tc>
        <w:tc>
          <w:tcPr>
            <w:tcW w:w="755" w:type="pct"/>
            <w:tcBorders>
              <w:top w:val="single" w:sz="4" w:space="0" w:color="auto"/>
              <w:left w:val="nil"/>
              <w:bottom w:val="single" w:sz="4" w:space="0" w:color="auto"/>
              <w:right w:val="nil"/>
            </w:tcBorders>
            <w:shd w:val="clear" w:color="auto" w:fill="auto"/>
            <w:noWrap/>
            <w:vAlign w:val="center"/>
            <w:hideMark/>
          </w:tcPr>
          <w:p w14:paraId="32E2CA68" w14:textId="77777777" w:rsidR="00B779C7" w:rsidRPr="000B143A" w:rsidRDefault="00B779C7" w:rsidP="009527D3">
            <w:pPr>
              <w:rPr>
                <w:rFonts w:ascii="Garamond" w:eastAsia="Times New Roman" w:hAnsi="Garamond" w:cs="Calibri"/>
                <w:color w:val="000000"/>
                <w:lang w:val="it-IT" w:eastAsia="it-IT"/>
              </w:rPr>
            </w:pPr>
            <w:r w:rsidRPr="000B143A">
              <w:rPr>
                <w:rFonts w:ascii="Garamond" w:eastAsia="Times New Roman" w:hAnsi="Garamond" w:cs="Calibri"/>
                <w:color w:val="000000"/>
                <w:lang w:eastAsia="it-IT"/>
              </w:rPr>
              <w:t>Media</w:t>
            </w:r>
          </w:p>
        </w:tc>
        <w:tc>
          <w:tcPr>
            <w:tcW w:w="963" w:type="pct"/>
            <w:tcBorders>
              <w:top w:val="single" w:sz="4" w:space="0" w:color="auto"/>
              <w:left w:val="nil"/>
              <w:bottom w:val="single" w:sz="4" w:space="0" w:color="auto"/>
              <w:right w:val="nil"/>
            </w:tcBorders>
            <w:shd w:val="clear" w:color="auto" w:fill="auto"/>
            <w:noWrap/>
            <w:vAlign w:val="center"/>
            <w:hideMark/>
          </w:tcPr>
          <w:p w14:paraId="417BD332" w14:textId="77777777" w:rsidR="00B779C7" w:rsidRPr="000B143A" w:rsidRDefault="00B779C7" w:rsidP="009527D3">
            <w:pPr>
              <w:rPr>
                <w:rFonts w:ascii="Garamond" w:eastAsia="Times New Roman" w:hAnsi="Garamond" w:cs="Calibri"/>
                <w:color w:val="000000"/>
                <w:lang w:val="it-IT" w:eastAsia="it-IT"/>
              </w:rPr>
            </w:pPr>
            <w:r w:rsidRPr="000B143A">
              <w:rPr>
                <w:rFonts w:ascii="Garamond" w:eastAsia="Times New Roman" w:hAnsi="Garamond" w:cs="Calibri"/>
                <w:color w:val="000000"/>
                <w:lang w:eastAsia="it-IT"/>
              </w:rPr>
              <w:t>St Dev</w:t>
            </w:r>
          </w:p>
        </w:tc>
        <w:tc>
          <w:tcPr>
            <w:tcW w:w="568" w:type="pct"/>
            <w:tcBorders>
              <w:top w:val="single" w:sz="4" w:space="0" w:color="auto"/>
              <w:left w:val="nil"/>
              <w:bottom w:val="single" w:sz="4" w:space="0" w:color="auto"/>
              <w:right w:val="nil"/>
            </w:tcBorders>
            <w:shd w:val="clear" w:color="auto" w:fill="auto"/>
            <w:noWrap/>
            <w:vAlign w:val="center"/>
            <w:hideMark/>
          </w:tcPr>
          <w:p w14:paraId="4661EFB8" w14:textId="77777777" w:rsidR="00B779C7" w:rsidRPr="000B143A" w:rsidRDefault="00B779C7" w:rsidP="009527D3">
            <w:pPr>
              <w:rPr>
                <w:rFonts w:ascii="Garamond" w:eastAsia="Times New Roman" w:hAnsi="Garamond" w:cs="Calibri"/>
                <w:color w:val="000000"/>
                <w:lang w:val="it-IT" w:eastAsia="it-IT"/>
              </w:rPr>
            </w:pPr>
            <w:r w:rsidRPr="000B143A">
              <w:rPr>
                <w:rFonts w:ascii="Garamond" w:eastAsia="Times New Roman" w:hAnsi="Garamond" w:cs="Calibri"/>
                <w:color w:val="000000"/>
                <w:lang w:eastAsia="it-IT"/>
              </w:rPr>
              <w:t>Media</w:t>
            </w:r>
          </w:p>
        </w:tc>
        <w:tc>
          <w:tcPr>
            <w:tcW w:w="769" w:type="pct"/>
            <w:tcBorders>
              <w:top w:val="single" w:sz="4" w:space="0" w:color="auto"/>
              <w:left w:val="nil"/>
              <w:bottom w:val="single" w:sz="4" w:space="0" w:color="auto"/>
              <w:right w:val="nil"/>
            </w:tcBorders>
            <w:shd w:val="clear" w:color="auto" w:fill="auto"/>
            <w:noWrap/>
            <w:vAlign w:val="center"/>
            <w:hideMark/>
          </w:tcPr>
          <w:p w14:paraId="3636356B" w14:textId="77777777" w:rsidR="00B779C7" w:rsidRPr="000B143A" w:rsidRDefault="00B779C7" w:rsidP="009527D3">
            <w:pPr>
              <w:rPr>
                <w:rFonts w:ascii="Garamond" w:eastAsia="Times New Roman" w:hAnsi="Garamond" w:cs="Calibri"/>
                <w:color w:val="000000"/>
                <w:lang w:val="it-IT" w:eastAsia="it-IT"/>
              </w:rPr>
            </w:pPr>
            <w:r w:rsidRPr="000B143A">
              <w:rPr>
                <w:rFonts w:ascii="Garamond" w:eastAsia="Times New Roman" w:hAnsi="Garamond" w:cs="Calibri"/>
                <w:color w:val="000000"/>
                <w:lang w:val="it-IT" w:eastAsia="it-IT"/>
              </w:rPr>
              <w:t>St Dev</w:t>
            </w:r>
          </w:p>
        </w:tc>
      </w:tr>
      <w:tr w:rsidR="00B779C7" w:rsidRPr="000B143A" w14:paraId="3D26DD4C" w14:textId="77777777" w:rsidTr="009527D3">
        <w:trPr>
          <w:trHeight w:val="288"/>
          <w:jc w:val="center"/>
        </w:trPr>
        <w:tc>
          <w:tcPr>
            <w:tcW w:w="1945" w:type="pct"/>
            <w:tcBorders>
              <w:top w:val="nil"/>
              <w:left w:val="nil"/>
              <w:bottom w:val="nil"/>
              <w:right w:val="nil"/>
            </w:tcBorders>
            <w:shd w:val="clear" w:color="auto" w:fill="auto"/>
            <w:noWrap/>
            <w:vAlign w:val="center"/>
            <w:hideMark/>
          </w:tcPr>
          <w:p w14:paraId="5E531541" w14:textId="77777777" w:rsidR="00B779C7" w:rsidRPr="000B143A" w:rsidRDefault="00B779C7" w:rsidP="009527D3">
            <w:pPr>
              <w:rPr>
                <w:rFonts w:ascii="Garamond" w:eastAsia="Times New Roman" w:hAnsi="Garamond" w:cs="Calibri"/>
                <w:color w:val="000000"/>
                <w:lang w:val="it-IT" w:eastAsia="it-IT"/>
              </w:rPr>
            </w:pPr>
            <w:r w:rsidRPr="000B143A">
              <w:rPr>
                <w:rFonts w:ascii="Garamond" w:eastAsia="Times New Roman" w:hAnsi="Garamond" w:cs="Calibri"/>
                <w:color w:val="000000"/>
                <w:lang w:val="it-IT" w:eastAsia="it-IT"/>
              </w:rPr>
              <w:t>(Ln) Salario settimanale lordo (FTE)</w:t>
            </w:r>
          </w:p>
        </w:tc>
        <w:tc>
          <w:tcPr>
            <w:tcW w:w="755" w:type="pct"/>
            <w:tcBorders>
              <w:top w:val="nil"/>
              <w:left w:val="nil"/>
              <w:bottom w:val="nil"/>
              <w:right w:val="nil"/>
            </w:tcBorders>
            <w:shd w:val="clear" w:color="auto" w:fill="auto"/>
            <w:noWrap/>
            <w:vAlign w:val="center"/>
            <w:hideMark/>
          </w:tcPr>
          <w:p w14:paraId="3463463D" w14:textId="77777777" w:rsidR="00B779C7" w:rsidRPr="000B143A" w:rsidRDefault="00B779C7" w:rsidP="009527D3">
            <w:pPr>
              <w:rPr>
                <w:rFonts w:ascii="Garamond" w:eastAsia="Times New Roman" w:hAnsi="Garamond" w:cs="Calibri"/>
                <w:color w:val="000000"/>
                <w:lang w:val="it-IT" w:eastAsia="it-IT"/>
              </w:rPr>
            </w:pPr>
            <w:r w:rsidRPr="000B143A">
              <w:rPr>
                <w:rFonts w:ascii="Garamond" w:eastAsia="Times New Roman" w:hAnsi="Garamond" w:cs="Calibri"/>
                <w:color w:val="000000"/>
                <w:lang w:eastAsia="it-IT"/>
              </w:rPr>
              <w:t>6,17</w:t>
            </w:r>
          </w:p>
        </w:tc>
        <w:tc>
          <w:tcPr>
            <w:tcW w:w="963" w:type="pct"/>
            <w:tcBorders>
              <w:top w:val="nil"/>
              <w:left w:val="nil"/>
              <w:bottom w:val="nil"/>
              <w:right w:val="nil"/>
            </w:tcBorders>
            <w:shd w:val="clear" w:color="auto" w:fill="auto"/>
            <w:noWrap/>
            <w:vAlign w:val="center"/>
            <w:hideMark/>
          </w:tcPr>
          <w:p w14:paraId="5F8A7404" w14:textId="77777777" w:rsidR="00B779C7" w:rsidRPr="000B143A" w:rsidRDefault="00B779C7" w:rsidP="009527D3">
            <w:pPr>
              <w:rPr>
                <w:rFonts w:ascii="Garamond" w:eastAsia="Times New Roman" w:hAnsi="Garamond" w:cs="Calibri"/>
                <w:color w:val="000000"/>
                <w:lang w:val="it-IT" w:eastAsia="it-IT"/>
              </w:rPr>
            </w:pPr>
            <w:r w:rsidRPr="000B143A">
              <w:rPr>
                <w:rFonts w:ascii="Garamond" w:eastAsia="Times New Roman" w:hAnsi="Garamond" w:cs="Calibri"/>
                <w:color w:val="000000"/>
                <w:lang w:eastAsia="it-IT"/>
              </w:rPr>
              <w:t>0,56</w:t>
            </w:r>
          </w:p>
        </w:tc>
        <w:tc>
          <w:tcPr>
            <w:tcW w:w="568" w:type="pct"/>
            <w:tcBorders>
              <w:top w:val="nil"/>
              <w:left w:val="nil"/>
              <w:bottom w:val="nil"/>
              <w:right w:val="nil"/>
            </w:tcBorders>
            <w:shd w:val="clear" w:color="auto" w:fill="auto"/>
            <w:noWrap/>
            <w:vAlign w:val="center"/>
            <w:hideMark/>
          </w:tcPr>
          <w:p w14:paraId="5D919FD5" w14:textId="77777777" w:rsidR="00B779C7" w:rsidRPr="000B143A" w:rsidRDefault="00B779C7" w:rsidP="009527D3">
            <w:pPr>
              <w:rPr>
                <w:rFonts w:ascii="Garamond" w:eastAsia="Times New Roman" w:hAnsi="Garamond" w:cs="Calibri"/>
                <w:color w:val="000000"/>
                <w:lang w:val="it-IT" w:eastAsia="it-IT"/>
              </w:rPr>
            </w:pPr>
            <w:r w:rsidRPr="000B143A">
              <w:rPr>
                <w:rFonts w:ascii="Garamond" w:eastAsia="Times New Roman" w:hAnsi="Garamond" w:cs="Calibri"/>
                <w:color w:val="000000"/>
                <w:lang w:eastAsia="it-IT"/>
              </w:rPr>
              <w:t>6,16</w:t>
            </w:r>
          </w:p>
        </w:tc>
        <w:tc>
          <w:tcPr>
            <w:tcW w:w="769" w:type="pct"/>
            <w:tcBorders>
              <w:top w:val="nil"/>
              <w:left w:val="nil"/>
              <w:bottom w:val="nil"/>
              <w:right w:val="nil"/>
            </w:tcBorders>
            <w:shd w:val="clear" w:color="auto" w:fill="auto"/>
            <w:noWrap/>
            <w:vAlign w:val="bottom"/>
            <w:hideMark/>
          </w:tcPr>
          <w:p w14:paraId="36AD9B2D" w14:textId="77777777" w:rsidR="00B779C7" w:rsidRPr="000B143A" w:rsidRDefault="00B779C7" w:rsidP="009527D3">
            <w:pPr>
              <w:rPr>
                <w:rFonts w:ascii="Garamond" w:eastAsia="Times New Roman" w:hAnsi="Garamond" w:cs="Calibri"/>
                <w:color w:val="000000"/>
                <w:lang w:val="it-IT" w:eastAsia="it-IT"/>
              </w:rPr>
            </w:pPr>
            <w:r w:rsidRPr="000B143A">
              <w:rPr>
                <w:rFonts w:ascii="Garamond" w:eastAsia="Times New Roman" w:hAnsi="Garamond" w:cs="Calibri"/>
                <w:color w:val="000000"/>
                <w:lang w:eastAsia="it-IT"/>
              </w:rPr>
              <w:t>0,57</w:t>
            </w:r>
          </w:p>
        </w:tc>
      </w:tr>
      <w:tr w:rsidR="00B779C7" w:rsidRPr="000B143A" w14:paraId="25B3878C" w14:textId="77777777" w:rsidTr="009527D3">
        <w:trPr>
          <w:trHeight w:val="288"/>
          <w:jc w:val="center"/>
        </w:trPr>
        <w:tc>
          <w:tcPr>
            <w:tcW w:w="1945" w:type="pct"/>
            <w:tcBorders>
              <w:top w:val="nil"/>
              <w:left w:val="nil"/>
              <w:bottom w:val="nil"/>
              <w:right w:val="nil"/>
            </w:tcBorders>
            <w:shd w:val="clear" w:color="auto" w:fill="auto"/>
            <w:noWrap/>
            <w:vAlign w:val="center"/>
            <w:hideMark/>
          </w:tcPr>
          <w:p w14:paraId="17047F2F" w14:textId="77777777" w:rsidR="00B779C7" w:rsidRPr="000B143A" w:rsidRDefault="00B779C7" w:rsidP="009527D3">
            <w:pPr>
              <w:rPr>
                <w:rFonts w:ascii="Garamond" w:eastAsia="Times New Roman" w:hAnsi="Garamond" w:cs="Calibri"/>
                <w:color w:val="000000"/>
                <w:lang w:val="it-IT" w:eastAsia="it-IT"/>
              </w:rPr>
            </w:pPr>
            <w:r w:rsidRPr="000B143A">
              <w:rPr>
                <w:rFonts w:ascii="Garamond" w:eastAsia="Times New Roman" w:hAnsi="Garamond" w:cs="Calibri"/>
                <w:color w:val="000000"/>
                <w:lang w:eastAsia="it-IT"/>
              </w:rPr>
              <w:t>Indice WFH (5 digit)</w:t>
            </w:r>
          </w:p>
        </w:tc>
        <w:tc>
          <w:tcPr>
            <w:tcW w:w="755" w:type="pct"/>
            <w:tcBorders>
              <w:top w:val="nil"/>
              <w:left w:val="nil"/>
              <w:bottom w:val="nil"/>
              <w:right w:val="nil"/>
            </w:tcBorders>
            <w:shd w:val="clear" w:color="auto" w:fill="auto"/>
            <w:noWrap/>
            <w:vAlign w:val="center"/>
            <w:hideMark/>
          </w:tcPr>
          <w:p w14:paraId="228FE7FF" w14:textId="77777777" w:rsidR="00B779C7" w:rsidRPr="000B143A" w:rsidRDefault="00B779C7" w:rsidP="009527D3">
            <w:pPr>
              <w:rPr>
                <w:rFonts w:ascii="Garamond" w:eastAsia="Times New Roman" w:hAnsi="Garamond" w:cs="Calibri"/>
                <w:color w:val="000000"/>
                <w:lang w:val="it-IT" w:eastAsia="it-IT"/>
              </w:rPr>
            </w:pPr>
            <w:r w:rsidRPr="000B143A">
              <w:rPr>
                <w:rFonts w:ascii="Garamond" w:eastAsia="Times New Roman" w:hAnsi="Garamond" w:cs="Calibri"/>
                <w:color w:val="000000"/>
                <w:lang w:eastAsia="it-IT"/>
              </w:rPr>
              <w:t>48,91</w:t>
            </w:r>
          </w:p>
        </w:tc>
        <w:tc>
          <w:tcPr>
            <w:tcW w:w="963" w:type="pct"/>
            <w:tcBorders>
              <w:top w:val="nil"/>
              <w:left w:val="nil"/>
              <w:bottom w:val="nil"/>
              <w:right w:val="nil"/>
            </w:tcBorders>
            <w:shd w:val="clear" w:color="auto" w:fill="auto"/>
            <w:noWrap/>
            <w:vAlign w:val="center"/>
            <w:hideMark/>
          </w:tcPr>
          <w:p w14:paraId="05C3E4C7" w14:textId="77777777" w:rsidR="00B779C7" w:rsidRPr="000B143A" w:rsidRDefault="00B779C7" w:rsidP="009527D3">
            <w:pPr>
              <w:rPr>
                <w:rFonts w:ascii="Garamond" w:eastAsia="Times New Roman" w:hAnsi="Garamond" w:cs="Calibri"/>
                <w:color w:val="000000"/>
                <w:lang w:val="it-IT" w:eastAsia="it-IT"/>
              </w:rPr>
            </w:pPr>
            <w:r w:rsidRPr="000B143A">
              <w:rPr>
                <w:rFonts w:ascii="Garamond" w:eastAsia="Times New Roman" w:hAnsi="Garamond" w:cs="Calibri"/>
                <w:color w:val="000000"/>
                <w:lang w:eastAsia="it-IT"/>
              </w:rPr>
              <w:t>14,99</w:t>
            </w:r>
          </w:p>
        </w:tc>
        <w:tc>
          <w:tcPr>
            <w:tcW w:w="568" w:type="pct"/>
            <w:tcBorders>
              <w:top w:val="nil"/>
              <w:left w:val="nil"/>
              <w:bottom w:val="nil"/>
              <w:right w:val="nil"/>
            </w:tcBorders>
            <w:shd w:val="clear" w:color="auto" w:fill="auto"/>
            <w:noWrap/>
            <w:vAlign w:val="center"/>
            <w:hideMark/>
          </w:tcPr>
          <w:p w14:paraId="472C502E" w14:textId="77777777" w:rsidR="00B779C7" w:rsidRPr="000B143A" w:rsidRDefault="00B779C7" w:rsidP="009527D3">
            <w:pPr>
              <w:rPr>
                <w:rFonts w:ascii="Garamond" w:eastAsia="Times New Roman" w:hAnsi="Garamond" w:cs="Calibri"/>
                <w:color w:val="000000"/>
                <w:lang w:val="it-IT" w:eastAsia="it-IT"/>
              </w:rPr>
            </w:pPr>
            <w:r w:rsidRPr="000B143A">
              <w:rPr>
                <w:rFonts w:ascii="Garamond" w:eastAsia="Times New Roman" w:hAnsi="Garamond" w:cs="Calibri"/>
                <w:color w:val="000000"/>
                <w:lang w:eastAsia="it-IT"/>
              </w:rPr>
              <w:t>48,99</w:t>
            </w:r>
          </w:p>
        </w:tc>
        <w:tc>
          <w:tcPr>
            <w:tcW w:w="769" w:type="pct"/>
            <w:tcBorders>
              <w:top w:val="nil"/>
              <w:left w:val="nil"/>
              <w:bottom w:val="nil"/>
              <w:right w:val="nil"/>
            </w:tcBorders>
            <w:shd w:val="clear" w:color="auto" w:fill="auto"/>
            <w:noWrap/>
            <w:vAlign w:val="bottom"/>
            <w:hideMark/>
          </w:tcPr>
          <w:p w14:paraId="0A0CBCCC" w14:textId="77777777" w:rsidR="00B779C7" w:rsidRPr="000B143A" w:rsidRDefault="00B779C7" w:rsidP="009527D3">
            <w:pPr>
              <w:rPr>
                <w:rFonts w:ascii="Garamond" w:eastAsia="Times New Roman" w:hAnsi="Garamond" w:cs="Calibri"/>
                <w:color w:val="000000"/>
                <w:lang w:val="it-IT" w:eastAsia="it-IT"/>
              </w:rPr>
            </w:pPr>
            <w:r w:rsidRPr="000B143A">
              <w:rPr>
                <w:rFonts w:ascii="Garamond" w:eastAsia="Times New Roman" w:hAnsi="Garamond" w:cs="Calibri"/>
                <w:color w:val="000000"/>
                <w:lang w:eastAsia="it-IT"/>
              </w:rPr>
              <w:t>14,95</w:t>
            </w:r>
          </w:p>
        </w:tc>
      </w:tr>
      <w:tr w:rsidR="00B779C7" w:rsidRPr="000B143A" w14:paraId="0203DB67" w14:textId="77777777" w:rsidTr="009527D3">
        <w:trPr>
          <w:trHeight w:val="288"/>
          <w:jc w:val="center"/>
        </w:trPr>
        <w:tc>
          <w:tcPr>
            <w:tcW w:w="1945" w:type="pct"/>
            <w:tcBorders>
              <w:top w:val="nil"/>
              <w:left w:val="nil"/>
              <w:bottom w:val="nil"/>
              <w:right w:val="nil"/>
            </w:tcBorders>
            <w:shd w:val="clear" w:color="auto" w:fill="auto"/>
            <w:noWrap/>
            <w:vAlign w:val="center"/>
            <w:hideMark/>
          </w:tcPr>
          <w:p w14:paraId="7363CA7E" w14:textId="77777777" w:rsidR="00B779C7" w:rsidRPr="000B143A" w:rsidRDefault="00B779C7" w:rsidP="009527D3">
            <w:pPr>
              <w:rPr>
                <w:rFonts w:ascii="Garamond" w:eastAsia="Times New Roman" w:hAnsi="Garamond" w:cs="Calibri"/>
                <w:color w:val="000000"/>
                <w:lang w:val="it-IT" w:eastAsia="it-IT"/>
              </w:rPr>
            </w:pPr>
            <w:r w:rsidRPr="000B143A">
              <w:rPr>
                <w:rFonts w:ascii="Garamond" w:eastAsia="Times New Roman" w:hAnsi="Garamond" w:cs="Calibri"/>
                <w:color w:val="000000"/>
                <w:lang w:eastAsia="it-IT"/>
              </w:rPr>
              <w:t>Età (in anni)</w:t>
            </w:r>
          </w:p>
        </w:tc>
        <w:tc>
          <w:tcPr>
            <w:tcW w:w="755" w:type="pct"/>
            <w:tcBorders>
              <w:top w:val="nil"/>
              <w:left w:val="nil"/>
              <w:bottom w:val="nil"/>
              <w:right w:val="nil"/>
            </w:tcBorders>
            <w:shd w:val="clear" w:color="auto" w:fill="auto"/>
            <w:noWrap/>
            <w:vAlign w:val="center"/>
            <w:hideMark/>
          </w:tcPr>
          <w:p w14:paraId="565C2C4C" w14:textId="77777777" w:rsidR="00B779C7" w:rsidRPr="000B143A" w:rsidRDefault="00B779C7" w:rsidP="009527D3">
            <w:pPr>
              <w:rPr>
                <w:rFonts w:ascii="Garamond" w:eastAsia="Times New Roman" w:hAnsi="Garamond" w:cs="Calibri"/>
                <w:color w:val="000000"/>
                <w:lang w:val="it-IT" w:eastAsia="it-IT"/>
              </w:rPr>
            </w:pPr>
            <w:r w:rsidRPr="000B143A">
              <w:rPr>
                <w:rFonts w:ascii="Garamond" w:eastAsia="Times New Roman" w:hAnsi="Garamond" w:cs="Calibri"/>
                <w:color w:val="000000"/>
                <w:lang w:eastAsia="it-IT"/>
              </w:rPr>
              <w:t>40,73</w:t>
            </w:r>
          </w:p>
        </w:tc>
        <w:tc>
          <w:tcPr>
            <w:tcW w:w="963" w:type="pct"/>
            <w:tcBorders>
              <w:top w:val="nil"/>
              <w:left w:val="nil"/>
              <w:bottom w:val="nil"/>
              <w:right w:val="nil"/>
            </w:tcBorders>
            <w:shd w:val="clear" w:color="auto" w:fill="auto"/>
            <w:noWrap/>
            <w:vAlign w:val="center"/>
            <w:hideMark/>
          </w:tcPr>
          <w:p w14:paraId="291C4870" w14:textId="77777777" w:rsidR="00B779C7" w:rsidRPr="000B143A" w:rsidRDefault="00B779C7" w:rsidP="009527D3">
            <w:pPr>
              <w:rPr>
                <w:rFonts w:ascii="Garamond" w:eastAsia="Times New Roman" w:hAnsi="Garamond" w:cs="Calibri"/>
                <w:color w:val="000000"/>
                <w:lang w:val="it-IT" w:eastAsia="it-IT"/>
              </w:rPr>
            </w:pPr>
            <w:r w:rsidRPr="000B143A">
              <w:rPr>
                <w:rFonts w:ascii="Garamond" w:eastAsia="Times New Roman" w:hAnsi="Garamond" w:cs="Calibri"/>
                <w:color w:val="000000"/>
                <w:lang w:eastAsia="it-IT"/>
              </w:rPr>
              <w:t>11,69</w:t>
            </w:r>
          </w:p>
        </w:tc>
        <w:tc>
          <w:tcPr>
            <w:tcW w:w="568" w:type="pct"/>
            <w:tcBorders>
              <w:top w:val="nil"/>
              <w:left w:val="nil"/>
              <w:bottom w:val="nil"/>
              <w:right w:val="nil"/>
            </w:tcBorders>
            <w:shd w:val="clear" w:color="auto" w:fill="auto"/>
            <w:noWrap/>
            <w:vAlign w:val="center"/>
            <w:hideMark/>
          </w:tcPr>
          <w:p w14:paraId="3D13A896" w14:textId="77777777" w:rsidR="00B779C7" w:rsidRPr="000B143A" w:rsidRDefault="00B779C7" w:rsidP="009527D3">
            <w:pPr>
              <w:rPr>
                <w:rFonts w:ascii="Garamond" w:eastAsia="Times New Roman" w:hAnsi="Garamond" w:cs="Calibri"/>
                <w:color w:val="000000"/>
                <w:lang w:val="it-IT" w:eastAsia="it-IT"/>
              </w:rPr>
            </w:pPr>
            <w:r w:rsidRPr="000B143A">
              <w:rPr>
                <w:rFonts w:ascii="Garamond" w:eastAsia="Times New Roman" w:hAnsi="Garamond" w:cs="Calibri"/>
                <w:color w:val="000000"/>
                <w:lang w:eastAsia="it-IT"/>
              </w:rPr>
              <w:t>40,91</w:t>
            </w:r>
          </w:p>
        </w:tc>
        <w:tc>
          <w:tcPr>
            <w:tcW w:w="769" w:type="pct"/>
            <w:tcBorders>
              <w:top w:val="nil"/>
              <w:left w:val="nil"/>
              <w:bottom w:val="nil"/>
              <w:right w:val="nil"/>
            </w:tcBorders>
            <w:shd w:val="clear" w:color="auto" w:fill="auto"/>
            <w:noWrap/>
            <w:vAlign w:val="bottom"/>
            <w:hideMark/>
          </w:tcPr>
          <w:p w14:paraId="3637494D" w14:textId="77777777" w:rsidR="00B779C7" w:rsidRPr="000B143A" w:rsidRDefault="00B779C7" w:rsidP="009527D3">
            <w:pPr>
              <w:rPr>
                <w:rFonts w:ascii="Garamond" w:eastAsia="Times New Roman" w:hAnsi="Garamond" w:cs="Calibri"/>
                <w:color w:val="000000"/>
                <w:lang w:val="it-IT" w:eastAsia="it-IT"/>
              </w:rPr>
            </w:pPr>
            <w:r w:rsidRPr="000B143A">
              <w:rPr>
                <w:rFonts w:ascii="Garamond" w:eastAsia="Times New Roman" w:hAnsi="Garamond" w:cs="Calibri"/>
                <w:color w:val="000000"/>
                <w:lang w:eastAsia="it-IT"/>
              </w:rPr>
              <w:t>11,76</w:t>
            </w:r>
          </w:p>
        </w:tc>
      </w:tr>
      <w:tr w:rsidR="00B779C7" w:rsidRPr="000B143A" w14:paraId="246F9729" w14:textId="77777777" w:rsidTr="009527D3">
        <w:trPr>
          <w:trHeight w:val="288"/>
          <w:jc w:val="center"/>
        </w:trPr>
        <w:tc>
          <w:tcPr>
            <w:tcW w:w="1945" w:type="pct"/>
            <w:tcBorders>
              <w:top w:val="nil"/>
              <w:left w:val="nil"/>
              <w:bottom w:val="nil"/>
              <w:right w:val="nil"/>
            </w:tcBorders>
            <w:shd w:val="clear" w:color="auto" w:fill="auto"/>
            <w:noWrap/>
            <w:vAlign w:val="center"/>
            <w:hideMark/>
          </w:tcPr>
          <w:p w14:paraId="6904BC62" w14:textId="77777777" w:rsidR="00B779C7" w:rsidRPr="000B143A" w:rsidRDefault="00B779C7" w:rsidP="009527D3">
            <w:pPr>
              <w:rPr>
                <w:rFonts w:ascii="Garamond" w:eastAsia="Times New Roman" w:hAnsi="Garamond" w:cs="Calibri"/>
                <w:color w:val="000000"/>
                <w:lang w:val="it-IT" w:eastAsia="it-IT"/>
              </w:rPr>
            </w:pPr>
            <w:r>
              <w:rPr>
                <w:rFonts w:ascii="Garamond" w:eastAsia="Times New Roman" w:hAnsi="Garamond" w:cs="Calibri"/>
                <w:color w:val="000000"/>
                <w:lang w:eastAsia="it-IT"/>
              </w:rPr>
              <w:t>D</w:t>
            </w:r>
            <w:r w:rsidRPr="000B143A">
              <w:rPr>
                <w:rFonts w:ascii="Garamond" w:eastAsia="Times New Roman" w:hAnsi="Garamond" w:cs="Calibri"/>
                <w:color w:val="000000"/>
                <w:lang w:eastAsia="it-IT"/>
              </w:rPr>
              <w:t>onne</w:t>
            </w:r>
          </w:p>
        </w:tc>
        <w:tc>
          <w:tcPr>
            <w:tcW w:w="755" w:type="pct"/>
            <w:tcBorders>
              <w:top w:val="nil"/>
              <w:left w:val="nil"/>
              <w:bottom w:val="nil"/>
              <w:right w:val="nil"/>
            </w:tcBorders>
            <w:shd w:val="clear" w:color="auto" w:fill="auto"/>
            <w:noWrap/>
            <w:vAlign w:val="center"/>
            <w:hideMark/>
          </w:tcPr>
          <w:p w14:paraId="75BBDDC2" w14:textId="77777777" w:rsidR="00B779C7" w:rsidRPr="000B143A" w:rsidRDefault="00B779C7" w:rsidP="009527D3">
            <w:pPr>
              <w:rPr>
                <w:rFonts w:ascii="Garamond" w:eastAsia="Times New Roman" w:hAnsi="Garamond" w:cs="Calibri"/>
                <w:color w:val="000000"/>
                <w:lang w:val="it-IT" w:eastAsia="it-IT"/>
              </w:rPr>
            </w:pPr>
            <w:r w:rsidRPr="000B143A">
              <w:rPr>
                <w:rFonts w:ascii="Garamond" w:eastAsia="Times New Roman" w:hAnsi="Garamond" w:cs="Calibri"/>
                <w:color w:val="000000"/>
                <w:lang w:eastAsia="it-IT"/>
              </w:rPr>
              <w:t>0,47</w:t>
            </w:r>
          </w:p>
        </w:tc>
        <w:tc>
          <w:tcPr>
            <w:tcW w:w="963" w:type="pct"/>
            <w:tcBorders>
              <w:top w:val="nil"/>
              <w:left w:val="nil"/>
              <w:bottom w:val="nil"/>
              <w:right w:val="nil"/>
            </w:tcBorders>
            <w:shd w:val="clear" w:color="auto" w:fill="auto"/>
            <w:noWrap/>
            <w:vAlign w:val="center"/>
            <w:hideMark/>
          </w:tcPr>
          <w:p w14:paraId="43374A5F" w14:textId="77777777" w:rsidR="00B779C7" w:rsidRPr="000B143A" w:rsidRDefault="00B779C7" w:rsidP="009527D3">
            <w:pPr>
              <w:rPr>
                <w:rFonts w:ascii="Garamond" w:eastAsia="Times New Roman" w:hAnsi="Garamond" w:cs="Calibri"/>
                <w:color w:val="000000"/>
                <w:lang w:val="it-IT" w:eastAsia="it-IT"/>
              </w:rPr>
            </w:pPr>
            <w:r w:rsidRPr="000B143A">
              <w:rPr>
                <w:rFonts w:ascii="Garamond" w:eastAsia="Times New Roman" w:hAnsi="Garamond" w:cs="Calibri"/>
                <w:color w:val="000000"/>
                <w:lang w:eastAsia="it-IT"/>
              </w:rPr>
              <w:t>0,5</w:t>
            </w:r>
          </w:p>
        </w:tc>
        <w:tc>
          <w:tcPr>
            <w:tcW w:w="568" w:type="pct"/>
            <w:tcBorders>
              <w:top w:val="nil"/>
              <w:left w:val="nil"/>
              <w:bottom w:val="nil"/>
              <w:right w:val="nil"/>
            </w:tcBorders>
            <w:shd w:val="clear" w:color="auto" w:fill="auto"/>
            <w:noWrap/>
            <w:vAlign w:val="center"/>
            <w:hideMark/>
          </w:tcPr>
          <w:p w14:paraId="3B2CF1C2" w14:textId="77777777" w:rsidR="00B779C7" w:rsidRPr="000B143A" w:rsidRDefault="00B779C7" w:rsidP="009527D3">
            <w:pPr>
              <w:rPr>
                <w:rFonts w:ascii="Garamond" w:eastAsia="Times New Roman" w:hAnsi="Garamond" w:cs="Calibri"/>
                <w:color w:val="000000"/>
                <w:lang w:val="it-IT" w:eastAsia="it-IT"/>
              </w:rPr>
            </w:pPr>
            <w:r w:rsidRPr="000B143A">
              <w:rPr>
                <w:rFonts w:ascii="Garamond" w:eastAsia="Times New Roman" w:hAnsi="Garamond" w:cs="Calibri"/>
                <w:color w:val="000000"/>
                <w:lang w:eastAsia="it-IT"/>
              </w:rPr>
              <w:t>0,45</w:t>
            </w:r>
          </w:p>
        </w:tc>
        <w:tc>
          <w:tcPr>
            <w:tcW w:w="769" w:type="pct"/>
            <w:tcBorders>
              <w:top w:val="nil"/>
              <w:left w:val="nil"/>
              <w:bottom w:val="nil"/>
              <w:right w:val="nil"/>
            </w:tcBorders>
            <w:shd w:val="clear" w:color="auto" w:fill="auto"/>
            <w:noWrap/>
            <w:vAlign w:val="bottom"/>
            <w:hideMark/>
          </w:tcPr>
          <w:p w14:paraId="464371BF" w14:textId="77777777" w:rsidR="00B779C7" w:rsidRPr="000B143A" w:rsidRDefault="00B779C7" w:rsidP="009527D3">
            <w:pPr>
              <w:rPr>
                <w:rFonts w:ascii="Garamond" w:eastAsia="Times New Roman" w:hAnsi="Garamond" w:cs="Calibri"/>
                <w:color w:val="000000"/>
                <w:lang w:val="it-IT" w:eastAsia="it-IT"/>
              </w:rPr>
            </w:pPr>
            <w:r w:rsidRPr="000B143A">
              <w:rPr>
                <w:rFonts w:ascii="Garamond" w:eastAsia="Times New Roman" w:hAnsi="Garamond" w:cs="Calibri"/>
                <w:color w:val="000000"/>
                <w:lang w:eastAsia="it-IT"/>
              </w:rPr>
              <w:t>0,5</w:t>
            </w:r>
          </w:p>
        </w:tc>
      </w:tr>
      <w:tr w:rsidR="00B779C7" w:rsidRPr="000B143A" w14:paraId="743CC6C2" w14:textId="77777777" w:rsidTr="009527D3">
        <w:trPr>
          <w:trHeight w:val="288"/>
          <w:jc w:val="center"/>
        </w:trPr>
        <w:tc>
          <w:tcPr>
            <w:tcW w:w="1945" w:type="pct"/>
            <w:tcBorders>
              <w:top w:val="nil"/>
              <w:left w:val="nil"/>
              <w:bottom w:val="nil"/>
              <w:right w:val="nil"/>
            </w:tcBorders>
            <w:shd w:val="clear" w:color="auto" w:fill="auto"/>
            <w:noWrap/>
            <w:vAlign w:val="center"/>
            <w:hideMark/>
          </w:tcPr>
          <w:p w14:paraId="6806D383" w14:textId="77777777" w:rsidR="00B779C7" w:rsidRPr="000B143A" w:rsidRDefault="00B779C7" w:rsidP="009527D3">
            <w:pPr>
              <w:rPr>
                <w:rFonts w:ascii="Garamond" w:eastAsia="Times New Roman" w:hAnsi="Garamond" w:cs="Calibri"/>
                <w:color w:val="000000"/>
                <w:lang w:val="it-IT" w:eastAsia="it-IT"/>
              </w:rPr>
            </w:pPr>
            <w:r w:rsidRPr="000B143A">
              <w:rPr>
                <w:rFonts w:ascii="Garamond" w:eastAsia="Times New Roman" w:hAnsi="Garamond" w:cs="Calibri"/>
                <w:color w:val="000000"/>
                <w:lang w:eastAsia="it-IT"/>
              </w:rPr>
              <w:t xml:space="preserve">Istruzione </w:t>
            </w:r>
            <w:r>
              <w:rPr>
                <w:rFonts w:ascii="Garamond" w:eastAsia="Times New Roman" w:hAnsi="Garamond" w:cs="Calibri"/>
                <w:color w:val="000000"/>
                <w:lang w:eastAsia="it-IT"/>
              </w:rPr>
              <w:t>obbligatoria</w:t>
            </w:r>
          </w:p>
        </w:tc>
        <w:tc>
          <w:tcPr>
            <w:tcW w:w="755" w:type="pct"/>
            <w:tcBorders>
              <w:top w:val="nil"/>
              <w:left w:val="nil"/>
              <w:bottom w:val="nil"/>
              <w:right w:val="nil"/>
            </w:tcBorders>
            <w:shd w:val="clear" w:color="auto" w:fill="auto"/>
            <w:noWrap/>
            <w:vAlign w:val="center"/>
            <w:hideMark/>
          </w:tcPr>
          <w:p w14:paraId="68ED3DB3" w14:textId="77777777" w:rsidR="00B779C7" w:rsidRPr="000B143A" w:rsidRDefault="00B779C7" w:rsidP="009527D3">
            <w:pPr>
              <w:rPr>
                <w:rFonts w:ascii="Garamond" w:eastAsia="Times New Roman" w:hAnsi="Garamond" w:cs="Calibri"/>
                <w:color w:val="000000"/>
                <w:lang w:val="it-IT" w:eastAsia="it-IT"/>
              </w:rPr>
            </w:pPr>
            <w:r w:rsidRPr="000B143A">
              <w:rPr>
                <w:rFonts w:ascii="Garamond" w:eastAsia="Times New Roman" w:hAnsi="Garamond" w:cs="Calibri"/>
                <w:color w:val="000000"/>
                <w:lang w:eastAsia="it-IT"/>
              </w:rPr>
              <w:t>0,27</w:t>
            </w:r>
          </w:p>
        </w:tc>
        <w:tc>
          <w:tcPr>
            <w:tcW w:w="963" w:type="pct"/>
            <w:tcBorders>
              <w:top w:val="nil"/>
              <w:left w:val="nil"/>
              <w:bottom w:val="nil"/>
              <w:right w:val="nil"/>
            </w:tcBorders>
            <w:shd w:val="clear" w:color="auto" w:fill="auto"/>
            <w:noWrap/>
            <w:vAlign w:val="center"/>
            <w:hideMark/>
          </w:tcPr>
          <w:p w14:paraId="7064F88E" w14:textId="77777777" w:rsidR="00B779C7" w:rsidRPr="000B143A" w:rsidRDefault="00B779C7" w:rsidP="009527D3">
            <w:pPr>
              <w:rPr>
                <w:rFonts w:ascii="Garamond" w:eastAsia="Times New Roman" w:hAnsi="Garamond" w:cs="Calibri"/>
                <w:color w:val="000000"/>
                <w:lang w:val="it-IT" w:eastAsia="it-IT"/>
              </w:rPr>
            </w:pPr>
            <w:r w:rsidRPr="000B143A">
              <w:rPr>
                <w:rFonts w:ascii="Garamond" w:eastAsia="Times New Roman" w:hAnsi="Garamond" w:cs="Calibri"/>
                <w:color w:val="000000"/>
                <w:lang w:eastAsia="it-IT"/>
              </w:rPr>
              <w:t>0,44</w:t>
            </w:r>
          </w:p>
        </w:tc>
        <w:tc>
          <w:tcPr>
            <w:tcW w:w="568" w:type="pct"/>
            <w:tcBorders>
              <w:top w:val="nil"/>
              <w:left w:val="nil"/>
              <w:bottom w:val="nil"/>
              <w:right w:val="nil"/>
            </w:tcBorders>
            <w:shd w:val="clear" w:color="auto" w:fill="auto"/>
            <w:noWrap/>
            <w:vAlign w:val="center"/>
            <w:hideMark/>
          </w:tcPr>
          <w:p w14:paraId="6CA05B71" w14:textId="77777777" w:rsidR="00B779C7" w:rsidRPr="000B143A" w:rsidRDefault="00B779C7" w:rsidP="009527D3">
            <w:pPr>
              <w:rPr>
                <w:rFonts w:ascii="Garamond" w:eastAsia="Times New Roman" w:hAnsi="Garamond" w:cs="Calibri"/>
                <w:color w:val="000000"/>
                <w:lang w:val="it-IT" w:eastAsia="it-IT"/>
              </w:rPr>
            </w:pPr>
            <w:r w:rsidRPr="000B143A">
              <w:rPr>
                <w:rFonts w:ascii="Garamond" w:eastAsia="Times New Roman" w:hAnsi="Garamond" w:cs="Calibri"/>
                <w:color w:val="000000"/>
                <w:lang w:eastAsia="it-IT"/>
              </w:rPr>
              <w:t>0,28</w:t>
            </w:r>
          </w:p>
        </w:tc>
        <w:tc>
          <w:tcPr>
            <w:tcW w:w="769" w:type="pct"/>
            <w:tcBorders>
              <w:top w:val="nil"/>
              <w:left w:val="nil"/>
              <w:bottom w:val="nil"/>
              <w:right w:val="nil"/>
            </w:tcBorders>
            <w:shd w:val="clear" w:color="auto" w:fill="auto"/>
            <w:noWrap/>
            <w:vAlign w:val="bottom"/>
            <w:hideMark/>
          </w:tcPr>
          <w:p w14:paraId="5EE0E1A1" w14:textId="77777777" w:rsidR="00B779C7" w:rsidRPr="000B143A" w:rsidRDefault="00B779C7" w:rsidP="009527D3">
            <w:pPr>
              <w:rPr>
                <w:rFonts w:ascii="Garamond" w:eastAsia="Times New Roman" w:hAnsi="Garamond" w:cs="Calibri"/>
                <w:color w:val="000000"/>
                <w:lang w:val="it-IT" w:eastAsia="it-IT"/>
              </w:rPr>
            </w:pPr>
            <w:r w:rsidRPr="000B143A">
              <w:rPr>
                <w:rFonts w:ascii="Garamond" w:eastAsia="Times New Roman" w:hAnsi="Garamond" w:cs="Calibri"/>
                <w:color w:val="000000"/>
                <w:lang w:eastAsia="it-IT"/>
              </w:rPr>
              <w:t>0,45</w:t>
            </w:r>
          </w:p>
        </w:tc>
      </w:tr>
      <w:tr w:rsidR="00B779C7" w:rsidRPr="000B143A" w14:paraId="140BCF45" w14:textId="77777777" w:rsidTr="009527D3">
        <w:trPr>
          <w:trHeight w:val="288"/>
          <w:jc w:val="center"/>
        </w:trPr>
        <w:tc>
          <w:tcPr>
            <w:tcW w:w="1945" w:type="pct"/>
            <w:tcBorders>
              <w:top w:val="nil"/>
              <w:left w:val="nil"/>
              <w:bottom w:val="nil"/>
              <w:right w:val="nil"/>
            </w:tcBorders>
            <w:shd w:val="clear" w:color="auto" w:fill="auto"/>
            <w:noWrap/>
            <w:vAlign w:val="center"/>
            <w:hideMark/>
          </w:tcPr>
          <w:p w14:paraId="5AA2088C" w14:textId="77777777" w:rsidR="00B779C7" w:rsidRPr="000B143A" w:rsidRDefault="00B779C7" w:rsidP="009527D3">
            <w:pPr>
              <w:rPr>
                <w:rFonts w:ascii="Garamond" w:eastAsia="Times New Roman" w:hAnsi="Garamond" w:cs="Calibri"/>
                <w:color w:val="000000"/>
                <w:lang w:val="it-IT" w:eastAsia="it-IT"/>
              </w:rPr>
            </w:pPr>
            <w:r w:rsidRPr="000B143A">
              <w:rPr>
                <w:rFonts w:ascii="Garamond" w:eastAsia="Times New Roman" w:hAnsi="Garamond" w:cs="Calibri"/>
                <w:color w:val="000000"/>
                <w:lang w:eastAsia="it-IT"/>
              </w:rPr>
              <w:t>Istruzione secondaria sup</w:t>
            </w:r>
            <w:r>
              <w:rPr>
                <w:rFonts w:ascii="Garamond" w:eastAsia="Times New Roman" w:hAnsi="Garamond" w:cs="Calibri"/>
                <w:color w:val="000000"/>
                <w:lang w:eastAsia="it-IT"/>
              </w:rPr>
              <w:t>eriore</w:t>
            </w:r>
          </w:p>
        </w:tc>
        <w:tc>
          <w:tcPr>
            <w:tcW w:w="755" w:type="pct"/>
            <w:tcBorders>
              <w:top w:val="nil"/>
              <w:left w:val="nil"/>
              <w:bottom w:val="nil"/>
              <w:right w:val="nil"/>
            </w:tcBorders>
            <w:shd w:val="clear" w:color="auto" w:fill="auto"/>
            <w:noWrap/>
            <w:vAlign w:val="center"/>
            <w:hideMark/>
          </w:tcPr>
          <w:p w14:paraId="152EB74E" w14:textId="77777777" w:rsidR="00B779C7" w:rsidRPr="000B143A" w:rsidRDefault="00B779C7" w:rsidP="009527D3">
            <w:pPr>
              <w:rPr>
                <w:rFonts w:ascii="Garamond" w:eastAsia="Times New Roman" w:hAnsi="Garamond" w:cs="Calibri"/>
                <w:color w:val="000000"/>
                <w:lang w:val="it-IT" w:eastAsia="it-IT"/>
              </w:rPr>
            </w:pPr>
            <w:r w:rsidRPr="000B143A">
              <w:rPr>
                <w:rFonts w:ascii="Garamond" w:eastAsia="Times New Roman" w:hAnsi="Garamond" w:cs="Calibri"/>
                <w:color w:val="000000"/>
                <w:lang w:eastAsia="it-IT"/>
              </w:rPr>
              <w:t>0,43</w:t>
            </w:r>
          </w:p>
        </w:tc>
        <w:tc>
          <w:tcPr>
            <w:tcW w:w="963" w:type="pct"/>
            <w:tcBorders>
              <w:top w:val="nil"/>
              <w:left w:val="nil"/>
              <w:bottom w:val="nil"/>
              <w:right w:val="nil"/>
            </w:tcBorders>
            <w:shd w:val="clear" w:color="auto" w:fill="auto"/>
            <w:noWrap/>
            <w:vAlign w:val="center"/>
            <w:hideMark/>
          </w:tcPr>
          <w:p w14:paraId="3C3AFA03" w14:textId="77777777" w:rsidR="00B779C7" w:rsidRPr="000B143A" w:rsidRDefault="00B779C7" w:rsidP="009527D3">
            <w:pPr>
              <w:rPr>
                <w:rFonts w:ascii="Garamond" w:eastAsia="Times New Roman" w:hAnsi="Garamond" w:cs="Calibri"/>
                <w:color w:val="000000"/>
                <w:lang w:val="it-IT" w:eastAsia="it-IT"/>
              </w:rPr>
            </w:pPr>
            <w:r w:rsidRPr="000B143A">
              <w:rPr>
                <w:rFonts w:ascii="Garamond" w:eastAsia="Times New Roman" w:hAnsi="Garamond" w:cs="Calibri"/>
                <w:color w:val="000000"/>
                <w:lang w:eastAsia="it-IT"/>
              </w:rPr>
              <w:t>0,5</w:t>
            </w:r>
          </w:p>
        </w:tc>
        <w:tc>
          <w:tcPr>
            <w:tcW w:w="568" w:type="pct"/>
            <w:tcBorders>
              <w:top w:val="nil"/>
              <w:left w:val="nil"/>
              <w:bottom w:val="nil"/>
              <w:right w:val="nil"/>
            </w:tcBorders>
            <w:shd w:val="clear" w:color="auto" w:fill="auto"/>
            <w:noWrap/>
            <w:vAlign w:val="center"/>
            <w:hideMark/>
          </w:tcPr>
          <w:p w14:paraId="3D96144A" w14:textId="77777777" w:rsidR="00B779C7" w:rsidRPr="000B143A" w:rsidRDefault="00B779C7" w:rsidP="009527D3">
            <w:pPr>
              <w:rPr>
                <w:rFonts w:ascii="Garamond" w:eastAsia="Times New Roman" w:hAnsi="Garamond" w:cs="Calibri"/>
                <w:color w:val="000000"/>
                <w:lang w:val="it-IT" w:eastAsia="it-IT"/>
              </w:rPr>
            </w:pPr>
            <w:r w:rsidRPr="000B143A">
              <w:rPr>
                <w:rFonts w:ascii="Garamond" w:eastAsia="Times New Roman" w:hAnsi="Garamond" w:cs="Calibri"/>
                <w:color w:val="000000"/>
                <w:lang w:eastAsia="it-IT"/>
              </w:rPr>
              <w:t>0,44</w:t>
            </w:r>
          </w:p>
        </w:tc>
        <w:tc>
          <w:tcPr>
            <w:tcW w:w="769" w:type="pct"/>
            <w:tcBorders>
              <w:top w:val="nil"/>
              <w:left w:val="nil"/>
              <w:bottom w:val="nil"/>
              <w:right w:val="nil"/>
            </w:tcBorders>
            <w:shd w:val="clear" w:color="auto" w:fill="auto"/>
            <w:noWrap/>
            <w:vAlign w:val="bottom"/>
            <w:hideMark/>
          </w:tcPr>
          <w:p w14:paraId="4195347F" w14:textId="77777777" w:rsidR="00B779C7" w:rsidRPr="000B143A" w:rsidRDefault="00B779C7" w:rsidP="009527D3">
            <w:pPr>
              <w:rPr>
                <w:rFonts w:ascii="Garamond" w:eastAsia="Times New Roman" w:hAnsi="Garamond" w:cs="Calibri"/>
                <w:color w:val="000000"/>
                <w:lang w:val="it-IT" w:eastAsia="it-IT"/>
              </w:rPr>
            </w:pPr>
            <w:r w:rsidRPr="000B143A">
              <w:rPr>
                <w:rFonts w:ascii="Garamond" w:eastAsia="Times New Roman" w:hAnsi="Garamond" w:cs="Calibri"/>
                <w:color w:val="000000"/>
                <w:lang w:eastAsia="it-IT"/>
              </w:rPr>
              <w:t>0,5</w:t>
            </w:r>
          </w:p>
        </w:tc>
      </w:tr>
      <w:tr w:rsidR="00B779C7" w:rsidRPr="000B143A" w14:paraId="62C670AE" w14:textId="77777777" w:rsidTr="009527D3">
        <w:trPr>
          <w:trHeight w:val="288"/>
          <w:jc w:val="center"/>
        </w:trPr>
        <w:tc>
          <w:tcPr>
            <w:tcW w:w="1945" w:type="pct"/>
            <w:tcBorders>
              <w:top w:val="nil"/>
              <w:left w:val="nil"/>
              <w:bottom w:val="nil"/>
              <w:right w:val="nil"/>
            </w:tcBorders>
            <w:shd w:val="clear" w:color="auto" w:fill="auto"/>
            <w:noWrap/>
            <w:vAlign w:val="center"/>
            <w:hideMark/>
          </w:tcPr>
          <w:p w14:paraId="241B4975" w14:textId="77777777" w:rsidR="00B779C7" w:rsidRPr="000B143A" w:rsidRDefault="00B779C7" w:rsidP="009527D3">
            <w:pPr>
              <w:rPr>
                <w:rFonts w:ascii="Garamond" w:eastAsia="Times New Roman" w:hAnsi="Garamond" w:cs="Calibri"/>
                <w:color w:val="000000"/>
                <w:lang w:val="it-IT" w:eastAsia="it-IT"/>
              </w:rPr>
            </w:pPr>
            <w:r w:rsidRPr="000B143A">
              <w:rPr>
                <w:rFonts w:ascii="Garamond" w:eastAsia="Times New Roman" w:hAnsi="Garamond" w:cs="Calibri"/>
                <w:color w:val="000000"/>
                <w:lang w:eastAsia="it-IT"/>
              </w:rPr>
              <w:t>Istruzione terziaria</w:t>
            </w:r>
          </w:p>
        </w:tc>
        <w:tc>
          <w:tcPr>
            <w:tcW w:w="755" w:type="pct"/>
            <w:tcBorders>
              <w:top w:val="nil"/>
              <w:left w:val="nil"/>
              <w:bottom w:val="nil"/>
              <w:right w:val="nil"/>
            </w:tcBorders>
            <w:shd w:val="clear" w:color="auto" w:fill="auto"/>
            <w:noWrap/>
            <w:vAlign w:val="center"/>
            <w:hideMark/>
          </w:tcPr>
          <w:p w14:paraId="45DDDA9B" w14:textId="77777777" w:rsidR="00B779C7" w:rsidRPr="000B143A" w:rsidRDefault="00B779C7" w:rsidP="009527D3">
            <w:pPr>
              <w:rPr>
                <w:rFonts w:ascii="Garamond" w:eastAsia="Times New Roman" w:hAnsi="Garamond" w:cs="Calibri"/>
                <w:color w:val="000000"/>
                <w:lang w:val="it-IT" w:eastAsia="it-IT"/>
              </w:rPr>
            </w:pPr>
            <w:r w:rsidRPr="000B143A">
              <w:rPr>
                <w:rFonts w:ascii="Garamond" w:eastAsia="Times New Roman" w:hAnsi="Garamond" w:cs="Calibri"/>
                <w:color w:val="000000"/>
                <w:lang w:eastAsia="it-IT"/>
              </w:rPr>
              <w:t>0,3</w:t>
            </w:r>
          </w:p>
        </w:tc>
        <w:tc>
          <w:tcPr>
            <w:tcW w:w="963" w:type="pct"/>
            <w:tcBorders>
              <w:top w:val="nil"/>
              <w:left w:val="nil"/>
              <w:bottom w:val="nil"/>
              <w:right w:val="nil"/>
            </w:tcBorders>
            <w:shd w:val="clear" w:color="auto" w:fill="auto"/>
            <w:noWrap/>
            <w:vAlign w:val="center"/>
            <w:hideMark/>
          </w:tcPr>
          <w:p w14:paraId="6B1842A0" w14:textId="77777777" w:rsidR="00B779C7" w:rsidRPr="000B143A" w:rsidRDefault="00B779C7" w:rsidP="009527D3">
            <w:pPr>
              <w:rPr>
                <w:rFonts w:ascii="Garamond" w:eastAsia="Times New Roman" w:hAnsi="Garamond" w:cs="Calibri"/>
                <w:color w:val="000000"/>
                <w:lang w:val="it-IT" w:eastAsia="it-IT"/>
              </w:rPr>
            </w:pPr>
            <w:r w:rsidRPr="000B143A">
              <w:rPr>
                <w:rFonts w:ascii="Garamond" w:eastAsia="Times New Roman" w:hAnsi="Garamond" w:cs="Calibri"/>
                <w:color w:val="000000"/>
                <w:lang w:eastAsia="it-IT"/>
              </w:rPr>
              <w:t>0,46</w:t>
            </w:r>
          </w:p>
        </w:tc>
        <w:tc>
          <w:tcPr>
            <w:tcW w:w="568" w:type="pct"/>
            <w:tcBorders>
              <w:top w:val="nil"/>
              <w:left w:val="nil"/>
              <w:bottom w:val="nil"/>
              <w:right w:val="nil"/>
            </w:tcBorders>
            <w:shd w:val="clear" w:color="auto" w:fill="auto"/>
            <w:noWrap/>
            <w:vAlign w:val="center"/>
            <w:hideMark/>
          </w:tcPr>
          <w:p w14:paraId="1CC0D78F" w14:textId="77777777" w:rsidR="00B779C7" w:rsidRPr="000B143A" w:rsidRDefault="00B779C7" w:rsidP="009527D3">
            <w:pPr>
              <w:rPr>
                <w:rFonts w:ascii="Garamond" w:eastAsia="Times New Roman" w:hAnsi="Garamond" w:cs="Calibri"/>
                <w:color w:val="000000"/>
                <w:lang w:val="it-IT" w:eastAsia="it-IT"/>
              </w:rPr>
            </w:pPr>
            <w:r w:rsidRPr="000B143A">
              <w:rPr>
                <w:rFonts w:ascii="Garamond" w:eastAsia="Times New Roman" w:hAnsi="Garamond" w:cs="Calibri"/>
                <w:color w:val="000000"/>
                <w:lang w:eastAsia="it-IT"/>
              </w:rPr>
              <w:t>0,28</w:t>
            </w:r>
          </w:p>
        </w:tc>
        <w:tc>
          <w:tcPr>
            <w:tcW w:w="769" w:type="pct"/>
            <w:tcBorders>
              <w:top w:val="nil"/>
              <w:left w:val="nil"/>
              <w:bottom w:val="nil"/>
              <w:right w:val="nil"/>
            </w:tcBorders>
            <w:shd w:val="clear" w:color="auto" w:fill="auto"/>
            <w:noWrap/>
            <w:vAlign w:val="bottom"/>
            <w:hideMark/>
          </w:tcPr>
          <w:p w14:paraId="2D1A3DED" w14:textId="77777777" w:rsidR="00B779C7" w:rsidRPr="000B143A" w:rsidRDefault="00B779C7" w:rsidP="009527D3">
            <w:pPr>
              <w:rPr>
                <w:rFonts w:ascii="Garamond" w:eastAsia="Times New Roman" w:hAnsi="Garamond" w:cs="Calibri"/>
                <w:color w:val="000000"/>
                <w:lang w:val="it-IT" w:eastAsia="it-IT"/>
              </w:rPr>
            </w:pPr>
            <w:r w:rsidRPr="000B143A">
              <w:rPr>
                <w:rFonts w:ascii="Garamond" w:eastAsia="Times New Roman" w:hAnsi="Garamond" w:cs="Calibri"/>
                <w:color w:val="000000"/>
                <w:lang w:eastAsia="it-IT"/>
              </w:rPr>
              <w:t>0,45</w:t>
            </w:r>
          </w:p>
        </w:tc>
      </w:tr>
      <w:tr w:rsidR="00B779C7" w:rsidRPr="000B143A" w14:paraId="2E765ED0" w14:textId="77777777" w:rsidTr="009527D3">
        <w:trPr>
          <w:trHeight w:val="288"/>
          <w:jc w:val="center"/>
        </w:trPr>
        <w:tc>
          <w:tcPr>
            <w:tcW w:w="1945" w:type="pct"/>
            <w:tcBorders>
              <w:top w:val="nil"/>
              <w:left w:val="nil"/>
              <w:bottom w:val="nil"/>
              <w:right w:val="nil"/>
            </w:tcBorders>
            <w:shd w:val="clear" w:color="auto" w:fill="auto"/>
            <w:noWrap/>
            <w:vAlign w:val="center"/>
            <w:hideMark/>
          </w:tcPr>
          <w:p w14:paraId="71DDBD44" w14:textId="77777777" w:rsidR="00B779C7" w:rsidRPr="000B143A" w:rsidRDefault="00B779C7" w:rsidP="009527D3">
            <w:pPr>
              <w:rPr>
                <w:rFonts w:ascii="Garamond" w:eastAsia="Times New Roman" w:hAnsi="Garamond" w:cs="Calibri"/>
                <w:color w:val="000000"/>
                <w:lang w:val="it-IT" w:eastAsia="it-IT"/>
              </w:rPr>
            </w:pPr>
            <w:r>
              <w:rPr>
                <w:rFonts w:ascii="Garamond" w:eastAsia="Times New Roman" w:hAnsi="Garamond" w:cs="Calibri"/>
                <w:color w:val="000000"/>
                <w:lang w:eastAsia="it-IT"/>
              </w:rPr>
              <w:t>Contratto tempo determinato</w:t>
            </w:r>
          </w:p>
        </w:tc>
        <w:tc>
          <w:tcPr>
            <w:tcW w:w="755" w:type="pct"/>
            <w:tcBorders>
              <w:top w:val="nil"/>
              <w:left w:val="nil"/>
              <w:bottom w:val="nil"/>
              <w:right w:val="nil"/>
            </w:tcBorders>
            <w:shd w:val="clear" w:color="auto" w:fill="auto"/>
            <w:noWrap/>
            <w:vAlign w:val="center"/>
            <w:hideMark/>
          </w:tcPr>
          <w:p w14:paraId="62B2D5C8" w14:textId="77777777" w:rsidR="00B779C7" w:rsidRPr="000B143A" w:rsidRDefault="00B779C7" w:rsidP="009527D3">
            <w:pPr>
              <w:rPr>
                <w:rFonts w:ascii="Garamond" w:eastAsia="Times New Roman" w:hAnsi="Garamond" w:cs="Calibri"/>
                <w:color w:val="000000"/>
                <w:lang w:val="it-IT" w:eastAsia="it-IT"/>
              </w:rPr>
            </w:pPr>
            <w:r w:rsidRPr="000B143A">
              <w:rPr>
                <w:rFonts w:ascii="Garamond" w:eastAsia="Times New Roman" w:hAnsi="Garamond" w:cs="Calibri"/>
                <w:color w:val="000000"/>
                <w:lang w:eastAsia="it-IT"/>
              </w:rPr>
              <w:t>0,35</w:t>
            </w:r>
          </w:p>
        </w:tc>
        <w:tc>
          <w:tcPr>
            <w:tcW w:w="963" w:type="pct"/>
            <w:tcBorders>
              <w:top w:val="nil"/>
              <w:left w:val="nil"/>
              <w:bottom w:val="nil"/>
              <w:right w:val="nil"/>
            </w:tcBorders>
            <w:shd w:val="clear" w:color="auto" w:fill="auto"/>
            <w:noWrap/>
            <w:vAlign w:val="center"/>
            <w:hideMark/>
          </w:tcPr>
          <w:p w14:paraId="01C05212" w14:textId="77777777" w:rsidR="00B779C7" w:rsidRPr="000B143A" w:rsidRDefault="00B779C7" w:rsidP="009527D3">
            <w:pPr>
              <w:rPr>
                <w:rFonts w:ascii="Garamond" w:eastAsia="Times New Roman" w:hAnsi="Garamond" w:cs="Calibri"/>
                <w:color w:val="000000"/>
                <w:lang w:val="it-IT" w:eastAsia="it-IT"/>
              </w:rPr>
            </w:pPr>
            <w:r w:rsidRPr="000B143A">
              <w:rPr>
                <w:rFonts w:ascii="Garamond" w:eastAsia="Times New Roman" w:hAnsi="Garamond" w:cs="Calibri"/>
                <w:color w:val="000000"/>
                <w:lang w:eastAsia="it-IT"/>
              </w:rPr>
              <w:t>0,48</w:t>
            </w:r>
          </w:p>
        </w:tc>
        <w:tc>
          <w:tcPr>
            <w:tcW w:w="568" w:type="pct"/>
            <w:tcBorders>
              <w:top w:val="nil"/>
              <w:left w:val="nil"/>
              <w:bottom w:val="nil"/>
              <w:right w:val="nil"/>
            </w:tcBorders>
            <w:shd w:val="clear" w:color="auto" w:fill="auto"/>
            <w:noWrap/>
            <w:vAlign w:val="center"/>
            <w:hideMark/>
          </w:tcPr>
          <w:p w14:paraId="4A192C0B" w14:textId="77777777" w:rsidR="00B779C7" w:rsidRPr="000B143A" w:rsidRDefault="00B779C7" w:rsidP="009527D3">
            <w:pPr>
              <w:rPr>
                <w:rFonts w:ascii="Garamond" w:eastAsia="Times New Roman" w:hAnsi="Garamond" w:cs="Calibri"/>
                <w:color w:val="000000"/>
                <w:lang w:val="it-IT" w:eastAsia="it-IT"/>
              </w:rPr>
            </w:pPr>
            <w:r w:rsidRPr="000B143A">
              <w:rPr>
                <w:rFonts w:ascii="Garamond" w:eastAsia="Times New Roman" w:hAnsi="Garamond" w:cs="Calibri"/>
                <w:color w:val="000000"/>
                <w:lang w:eastAsia="it-IT"/>
              </w:rPr>
              <w:t>0,34</w:t>
            </w:r>
          </w:p>
        </w:tc>
        <w:tc>
          <w:tcPr>
            <w:tcW w:w="769" w:type="pct"/>
            <w:tcBorders>
              <w:top w:val="nil"/>
              <w:left w:val="nil"/>
              <w:bottom w:val="nil"/>
              <w:right w:val="nil"/>
            </w:tcBorders>
            <w:shd w:val="clear" w:color="auto" w:fill="auto"/>
            <w:noWrap/>
            <w:vAlign w:val="bottom"/>
            <w:hideMark/>
          </w:tcPr>
          <w:p w14:paraId="42BB81FB" w14:textId="77777777" w:rsidR="00B779C7" w:rsidRPr="000B143A" w:rsidRDefault="00B779C7" w:rsidP="009527D3">
            <w:pPr>
              <w:rPr>
                <w:rFonts w:ascii="Garamond" w:eastAsia="Times New Roman" w:hAnsi="Garamond" w:cs="Calibri"/>
                <w:color w:val="000000"/>
                <w:lang w:val="it-IT" w:eastAsia="it-IT"/>
              </w:rPr>
            </w:pPr>
            <w:r w:rsidRPr="000B143A">
              <w:rPr>
                <w:rFonts w:ascii="Garamond" w:eastAsia="Times New Roman" w:hAnsi="Garamond" w:cs="Calibri"/>
                <w:color w:val="000000"/>
                <w:lang w:eastAsia="it-IT"/>
              </w:rPr>
              <w:t>0,47</w:t>
            </w:r>
          </w:p>
        </w:tc>
      </w:tr>
      <w:tr w:rsidR="00B779C7" w:rsidRPr="000B143A" w14:paraId="07E2AB73" w14:textId="77777777" w:rsidTr="009527D3">
        <w:trPr>
          <w:trHeight w:val="288"/>
          <w:jc w:val="center"/>
        </w:trPr>
        <w:tc>
          <w:tcPr>
            <w:tcW w:w="1945" w:type="pct"/>
            <w:tcBorders>
              <w:top w:val="nil"/>
              <w:left w:val="nil"/>
              <w:bottom w:val="nil"/>
              <w:right w:val="nil"/>
            </w:tcBorders>
            <w:shd w:val="clear" w:color="auto" w:fill="auto"/>
            <w:noWrap/>
            <w:vAlign w:val="center"/>
            <w:hideMark/>
          </w:tcPr>
          <w:p w14:paraId="0E20293B" w14:textId="77777777" w:rsidR="00B779C7" w:rsidRPr="000B143A" w:rsidRDefault="00B779C7" w:rsidP="009527D3">
            <w:pPr>
              <w:rPr>
                <w:rFonts w:ascii="Garamond" w:eastAsia="Times New Roman" w:hAnsi="Garamond" w:cs="Calibri"/>
                <w:color w:val="000000"/>
                <w:lang w:val="it-IT" w:eastAsia="it-IT"/>
              </w:rPr>
            </w:pPr>
            <w:r w:rsidRPr="000B143A">
              <w:rPr>
                <w:rFonts w:ascii="Garamond" w:eastAsia="Times New Roman" w:hAnsi="Garamond" w:cs="Calibri"/>
                <w:color w:val="000000"/>
                <w:lang w:eastAsia="it-IT"/>
              </w:rPr>
              <w:t>Part time</w:t>
            </w:r>
          </w:p>
        </w:tc>
        <w:tc>
          <w:tcPr>
            <w:tcW w:w="755" w:type="pct"/>
            <w:tcBorders>
              <w:top w:val="nil"/>
              <w:left w:val="nil"/>
              <w:bottom w:val="nil"/>
              <w:right w:val="nil"/>
            </w:tcBorders>
            <w:shd w:val="clear" w:color="auto" w:fill="auto"/>
            <w:noWrap/>
            <w:vAlign w:val="center"/>
            <w:hideMark/>
          </w:tcPr>
          <w:p w14:paraId="02DA83D8" w14:textId="77777777" w:rsidR="00B779C7" w:rsidRPr="000B143A" w:rsidRDefault="00B779C7" w:rsidP="009527D3">
            <w:pPr>
              <w:rPr>
                <w:rFonts w:ascii="Garamond" w:eastAsia="Times New Roman" w:hAnsi="Garamond" w:cs="Calibri"/>
                <w:color w:val="000000"/>
                <w:lang w:val="it-IT" w:eastAsia="it-IT"/>
              </w:rPr>
            </w:pPr>
            <w:r w:rsidRPr="000B143A">
              <w:rPr>
                <w:rFonts w:ascii="Garamond" w:eastAsia="Times New Roman" w:hAnsi="Garamond" w:cs="Calibri"/>
                <w:color w:val="000000"/>
                <w:lang w:eastAsia="it-IT"/>
              </w:rPr>
              <w:t>0,23</w:t>
            </w:r>
          </w:p>
        </w:tc>
        <w:tc>
          <w:tcPr>
            <w:tcW w:w="963" w:type="pct"/>
            <w:tcBorders>
              <w:top w:val="nil"/>
              <w:left w:val="nil"/>
              <w:bottom w:val="nil"/>
              <w:right w:val="nil"/>
            </w:tcBorders>
            <w:shd w:val="clear" w:color="auto" w:fill="auto"/>
            <w:noWrap/>
            <w:vAlign w:val="center"/>
            <w:hideMark/>
          </w:tcPr>
          <w:p w14:paraId="1400ACEB" w14:textId="77777777" w:rsidR="00B779C7" w:rsidRPr="000B143A" w:rsidRDefault="00B779C7" w:rsidP="009527D3">
            <w:pPr>
              <w:rPr>
                <w:rFonts w:ascii="Garamond" w:eastAsia="Times New Roman" w:hAnsi="Garamond" w:cs="Calibri"/>
                <w:color w:val="000000"/>
                <w:lang w:val="it-IT" w:eastAsia="it-IT"/>
              </w:rPr>
            </w:pPr>
            <w:r w:rsidRPr="000B143A">
              <w:rPr>
                <w:rFonts w:ascii="Garamond" w:eastAsia="Times New Roman" w:hAnsi="Garamond" w:cs="Calibri"/>
                <w:color w:val="000000"/>
                <w:lang w:eastAsia="it-IT"/>
              </w:rPr>
              <w:t>0,42</w:t>
            </w:r>
          </w:p>
        </w:tc>
        <w:tc>
          <w:tcPr>
            <w:tcW w:w="568" w:type="pct"/>
            <w:tcBorders>
              <w:top w:val="nil"/>
              <w:left w:val="nil"/>
              <w:bottom w:val="nil"/>
              <w:right w:val="nil"/>
            </w:tcBorders>
            <w:shd w:val="clear" w:color="auto" w:fill="auto"/>
            <w:noWrap/>
            <w:vAlign w:val="center"/>
            <w:hideMark/>
          </w:tcPr>
          <w:p w14:paraId="78F676BB" w14:textId="77777777" w:rsidR="00B779C7" w:rsidRPr="000B143A" w:rsidRDefault="00B779C7" w:rsidP="009527D3">
            <w:pPr>
              <w:rPr>
                <w:rFonts w:ascii="Garamond" w:eastAsia="Times New Roman" w:hAnsi="Garamond" w:cs="Calibri"/>
                <w:color w:val="000000"/>
                <w:lang w:val="it-IT" w:eastAsia="it-IT"/>
              </w:rPr>
            </w:pPr>
            <w:r w:rsidRPr="000B143A">
              <w:rPr>
                <w:rFonts w:ascii="Garamond" w:eastAsia="Times New Roman" w:hAnsi="Garamond" w:cs="Calibri"/>
                <w:color w:val="000000"/>
                <w:lang w:eastAsia="it-IT"/>
              </w:rPr>
              <w:t>0,23</w:t>
            </w:r>
          </w:p>
        </w:tc>
        <w:tc>
          <w:tcPr>
            <w:tcW w:w="769" w:type="pct"/>
            <w:tcBorders>
              <w:top w:val="nil"/>
              <w:left w:val="nil"/>
              <w:bottom w:val="nil"/>
              <w:right w:val="nil"/>
            </w:tcBorders>
            <w:shd w:val="clear" w:color="auto" w:fill="auto"/>
            <w:noWrap/>
            <w:vAlign w:val="bottom"/>
            <w:hideMark/>
          </w:tcPr>
          <w:p w14:paraId="2235E018" w14:textId="77777777" w:rsidR="00B779C7" w:rsidRPr="000B143A" w:rsidRDefault="00B779C7" w:rsidP="009527D3">
            <w:pPr>
              <w:rPr>
                <w:rFonts w:ascii="Garamond" w:eastAsia="Times New Roman" w:hAnsi="Garamond" w:cs="Calibri"/>
                <w:color w:val="000000"/>
                <w:lang w:val="it-IT" w:eastAsia="it-IT"/>
              </w:rPr>
            </w:pPr>
            <w:r w:rsidRPr="000B143A">
              <w:rPr>
                <w:rFonts w:ascii="Garamond" w:eastAsia="Times New Roman" w:hAnsi="Garamond" w:cs="Calibri"/>
                <w:color w:val="000000"/>
                <w:lang w:eastAsia="it-IT"/>
              </w:rPr>
              <w:t>0,42</w:t>
            </w:r>
          </w:p>
        </w:tc>
      </w:tr>
      <w:tr w:rsidR="00B779C7" w:rsidRPr="000B143A" w14:paraId="1C08F796" w14:textId="77777777" w:rsidTr="009527D3">
        <w:trPr>
          <w:trHeight w:val="288"/>
          <w:jc w:val="center"/>
        </w:trPr>
        <w:tc>
          <w:tcPr>
            <w:tcW w:w="1945" w:type="pct"/>
            <w:tcBorders>
              <w:top w:val="nil"/>
              <w:left w:val="nil"/>
              <w:bottom w:val="nil"/>
              <w:right w:val="nil"/>
            </w:tcBorders>
            <w:shd w:val="clear" w:color="auto" w:fill="auto"/>
            <w:noWrap/>
            <w:vAlign w:val="center"/>
            <w:hideMark/>
          </w:tcPr>
          <w:p w14:paraId="1DD80D22" w14:textId="77777777" w:rsidR="00B779C7" w:rsidRPr="000B143A" w:rsidRDefault="00B779C7" w:rsidP="009527D3">
            <w:pPr>
              <w:rPr>
                <w:rFonts w:ascii="Garamond" w:eastAsia="Times New Roman" w:hAnsi="Garamond" w:cs="Calibri"/>
                <w:color w:val="000000"/>
                <w:lang w:val="it-IT" w:eastAsia="it-IT"/>
              </w:rPr>
            </w:pPr>
            <w:r>
              <w:rPr>
                <w:rFonts w:ascii="Garamond" w:eastAsia="Times New Roman" w:hAnsi="Garamond" w:cs="Calibri"/>
                <w:color w:val="000000"/>
                <w:lang w:eastAsia="it-IT"/>
              </w:rPr>
              <w:t>A</w:t>
            </w:r>
            <w:r w:rsidRPr="000B143A">
              <w:rPr>
                <w:rFonts w:ascii="Garamond" w:eastAsia="Times New Roman" w:hAnsi="Garamond" w:cs="Calibri"/>
                <w:color w:val="000000"/>
                <w:lang w:eastAsia="it-IT"/>
              </w:rPr>
              <w:t>ltro inquadramento</w:t>
            </w:r>
          </w:p>
        </w:tc>
        <w:tc>
          <w:tcPr>
            <w:tcW w:w="755" w:type="pct"/>
            <w:tcBorders>
              <w:top w:val="nil"/>
              <w:left w:val="nil"/>
              <w:bottom w:val="nil"/>
              <w:right w:val="nil"/>
            </w:tcBorders>
            <w:shd w:val="clear" w:color="auto" w:fill="auto"/>
            <w:noWrap/>
            <w:vAlign w:val="center"/>
            <w:hideMark/>
          </w:tcPr>
          <w:p w14:paraId="047C873B" w14:textId="77777777" w:rsidR="00B779C7" w:rsidRPr="000B143A" w:rsidRDefault="00B779C7" w:rsidP="009527D3">
            <w:pPr>
              <w:rPr>
                <w:rFonts w:ascii="Garamond" w:eastAsia="Times New Roman" w:hAnsi="Garamond" w:cs="Calibri"/>
                <w:color w:val="000000"/>
                <w:lang w:val="it-IT" w:eastAsia="it-IT"/>
              </w:rPr>
            </w:pPr>
            <w:r w:rsidRPr="000B143A">
              <w:rPr>
                <w:rFonts w:ascii="Garamond" w:eastAsia="Times New Roman" w:hAnsi="Garamond" w:cs="Calibri"/>
                <w:color w:val="000000"/>
                <w:lang w:eastAsia="it-IT"/>
              </w:rPr>
              <w:t>0,04</w:t>
            </w:r>
          </w:p>
        </w:tc>
        <w:tc>
          <w:tcPr>
            <w:tcW w:w="963" w:type="pct"/>
            <w:tcBorders>
              <w:top w:val="nil"/>
              <w:left w:val="nil"/>
              <w:bottom w:val="nil"/>
              <w:right w:val="nil"/>
            </w:tcBorders>
            <w:shd w:val="clear" w:color="auto" w:fill="auto"/>
            <w:noWrap/>
            <w:vAlign w:val="center"/>
            <w:hideMark/>
          </w:tcPr>
          <w:p w14:paraId="385C868D" w14:textId="77777777" w:rsidR="00B779C7" w:rsidRPr="000B143A" w:rsidRDefault="00B779C7" w:rsidP="009527D3">
            <w:pPr>
              <w:rPr>
                <w:rFonts w:ascii="Garamond" w:eastAsia="Times New Roman" w:hAnsi="Garamond" w:cs="Calibri"/>
                <w:color w:val="000000"/>
                <w:lang w:val="it-IT" w:eastAsia="it-IT"/>
              </w:rPr>
            </w:pPr>
            <w:r w:rsidRPr="000B143A">
              <w:rPr>
                <w:rFonts w:ascii="Garamond" w:eastAsia="Times New Roman" w:hAnsi="Garamond" w:cs="Calibri"/>
                <w:color w:val="000000"/>
                <w:lang w:eastAsia="it-IT"/>
              </w:rPr>
              <w:t>0,21</w:t>
            </w:r>
          </w:p>
        </w:tc>
        <w:tc>
          <w:tcPr>
            <w:tcW w:w="568" w:type="pct"/>
            <w:tcBorders>
              <w:top w:val="nil"/>
              <w:left w:val="nil"/>
              <w:bottom w:val="nil"/>
              <w:right w:val="nil"/>
            </w:tcBorders>
            <w:shd w:val="clear" w:color="auto" w:fill="auto"/>
            <w:noWrap/>
            <w:vAlign w:val="center"/>
            <w:hideMark/>
          </w:tcPr>
          <w:p w14:paraId="50A297D4" w14:textId="77777777" w:rsidR="00B779C7" w:rsidRPr="000B143A" w:rsidRDefault="00B779C7" w:rsidP="009527D3">
            <w:pPr>
              <w:rPr>
                <w:rFonts w:ascii="Garamond" w:eastAsia="Times New Roman" w:hAnsi="Garamond" w:cs="Calibri"/>
                <w:color w:val="000000"/>
                <w:lang w:val="it-IT" w:eastAsia="it-IT"/>
              </w:rPr>
            </w:pPr>
            <w:r w:rsidRPr="000B143A">
              <w:rPr>
                <w:rFonts w:ascii="Garamond" w:eastAsia="Times New Roman" w:hAnsi="Garamond" w:cs="Calibri"/>
                <w:color w:val="000000"/>
                <w:lang w:eastAsia="it-IT"/>
              </w:rPr>
              <w:t>0,04</w:t>
            </w:r>
          </w:p>
        </w:tc>
        <w:tc>
          <w:tcPr>
            <w:tcW w:w="769" w:type="pct"/>
            <w:tcBorders>
              <w:top w:val="nil"/>
              <w:left w:val="nil"/>
              <w:bottom w:val="nil"/>
              <w:right w:val="nil"/>
            </w:tcBorders>
            <w:shd w:val="clear" w:color="auto" w:fill="auto"/>
            <w:noWrap/>
            <w:vAlign w:val="bottom"/>
            <w:hideMark/>
          </w:tcPr>
          <w:p w14:paraId="08A77A3C" w14:textId="77777777" w:rsidR="00B779C7" w:rsidRPr="000B143A" w:rsidRDefault="00B779C7" w:rsidP="009527D3">
            <w:pPr>
              <w:rPr>
                <w:rFonts w:ascii="Garamond" w:eastAsia="Times New Roman" w:hAnsi="Garamond" w:cs="Calibri"/>
                <w:color w:val="000000"/>
                <w:lang w:val="it-IT" w:eastAsia="it-IT"/>
              </w:rPr>
            </w:pPr>
            <w:r w:rsidRPr="000B143A">
              <w:rPr>
                <w:rFonts w:ascii="Garamond" w:eastAsia="Times New Roman" w:hAnsi="Garamond" w:cs="Calibri"/>
                <w:color w:val="000000"/>
                <w:lang w:eastAsia="it-IT"/>
              </w:rPr>
              <w:t>0,21</w:t>
            </w:r>
          </w:p>
        </w:tc>
      </w:tr>
      <w:tr w:rsidR="00B779C7" w:rsidRPr="000B143A" w14:paraId="361621FD" w14:textId="77777777" w:rsidTr="009527D3">
        <w:trPr>
          <w:trHeight w:val="288"/>
          <w:jc w:val="center"/>
        </w:trPr>
        <w:tc>
          <w:tcPr>
            <w:tcW w:w="1945" w:type="pct"/>
            <w:tcBorders>
              <w:top w:val="nil"/>
              <w:left w:val="nil"/>
              <w:bottom w:val="nil"/>
              <w:right w:val="nil"/>
            </w:tcBorders>
            <w:shd w:val="clear" w:color="auto" w:fill="auto"/>
            <w:noWrap/>
            <w:vAlign w:val="center"/>
            <w:hideMark/>
          </w:tcPr>
          <w:p w14:paraId="1F0EFA47" w14:textId="77777777" w:rsidR="00B779C7" w:rsidRPr="000B143A" w:rsidRDefault="00B779C7" w:rsidP="009527D3">
            <w:pPr>
              <w:rPr>
                <w:rFonts w:ascii="Garamond" w:eastAsia="Times New Roman" w:hAnsi="Garamond" w:cs="Calibri"/>
                <w:color w:val="000000"/>
                <w:lang w:val="it-IT" w:eastAsia="it-IT"/>
              </w:rPr>
            </w:pPr>
            <w:r w:rsidRPr="000B143A">
              <w:rPr>
                <w:rFonts w:ascii="Garamond" w:eastAsia="Times New Roman" w:hAnsi="Garamond" w:cs="Calibri"/>
                <w:color w:val="000000"/>
                <w:lang w:eastAsia="it-IT"/>
              </w:rPr>
              <w:t>Operai</w:t>
            </w:r>
            <w:r>
              <w:rPr>
                <w:rFonts w:ascii="Garamond" w:eastAsia="Times New Roman" w:hAnsi="Garamond" w:cs="Calibri"/>
                <w:color w:val="000000"/>
                <w:lang w:eastAsia="it-IT"/>
              </w:rPr>
              <w:t>o</w:t>
            </w:r>
          </w:p>
        </w:tc>
        <w:tc>
          <w:tcPr>
            <w:tcW w:w="755" w:type="pct"/>
            <w:tcBorders>
              <w:top w:val="nil"/>
              <w:left w:val="nil"/>
              <w:bottom w:val="nil"/>
              <w:right w:val="nil"/>
            </w:tcBorders>
            <w:shd w:val="clear" w:color="auto" w:fill="auto"/>
            <w:noWrap/>
            <w:vAlign w:val="center"/>
            <w:hideMark/>
          </w:tcPr>
          <w:p w14:paraId="1CA445E5" w14:textId="77777777" w:rsidR="00B779C7" w:rsidRPr="000B143A" w:rsidRDefault="00B779C7" w:rsidP="009527D3">
            <w:pPr>
              <w:rPr>
                <w:rFonts w:ascii="Garamond" w:eastAsia="Times New Roman" w:hAnsi="Garamond" w:cs="Calibri"/>
                <w:color w:val="000000"/>
                <w:lang w:val="it-IT" w:eastAsia="it-IT"/>
              </w:rPr>
            </w:pPr>
            <w:r w:rsidRPr="000B143A">
              <w:rPr>
                <w:rFonts w:ascii="Garamond" w:eastAsia="Times New Roman" w:hAnsi="Garamond" w:cs="Calibri"/>
                <w:color w:val="000000"/>
                <w:lang w:eastAsia="it-IT"/>
              </w:rPr>
              <w:t>0,45</w:t>
            </w:r>
          </w:p>
        </w:tc>
        <w:tc>
          <w:tcPr>
            <w:tcW w:w="963" w:type="pct"/>
            <w:tcBorders>
              <w:top w:val="nil"/>
              <w:left w:val="nil"/>
              <w:bottom w:val="nil"/>
              <w:right w:val="nil"/>
            </w:tcBorders>
            <w:shd w:val="clear" w:color="auto" w:fill="auto"/>
            <w:noWrap/>
            <w:vAlign w:val="center"/>
            <w:hideMark/>
          </w:tcPr>
          <w:p w14:paraId="651A1C55" w14:textId="77777777" w:rsidR="00B779C7" w:rsidRPr="000B143A" w:rsidRDefault="00B779C7" w:rsidP="009527D3">
            <w:pPr>
              <w:rPr>
                <w:rFonts w:ascii="Garamond" w:eastAsia="Times New Roman" w:hAnsi="Garamond" w:cs="Calibri"/>
                <w:color w:val="000000"/>
                <w:lang w:val="it-IT" w:eastAsia="it-IT"/>
              </w:rPr>
            </w:pPr>
            <w:r w:rsidRPr="000B143A">
              <w:rPr>
                <w:rFonts w:ascii="Garamond" w:eastAsia="Times New Roman" w:hAnsi="Garamond" w:cs="Calibri"/>
                <w:color w:val="000000"/>
                <w:lang w:eastAsia="it-IT"/>
              </w:rPr>
              <w:t>0,5</w:t>
            </w:r>
          </w:p>
        </w:tc>
        <w:tc>
          <w:tcPr>
            <w:tcW w:w="568" w:type="pct"/>
            <w:tcBorders>
              <w:top w:val="nil"/>
              <w:left w:val="nil"/>
              <w:bottom w:val="nil"/>
              <w:right w:val="nil"/>
            </w:tcBorders>
            <w:shd w:val="clear" w:color="auto" w:fill="auto"/>
            <w:noWrap/>
            <w:vAlign w:val="center"/>
            <w:hideMark/>
          </w:tcPr>
          <w:p w14:paraId="35BDE749" w14:textId="77777777" w:rsidR="00B779C7" w:rsidRPr="000B143A" w:rsidRDefault="00B779C7" w:rsidP="009527D3">
            <w:pPr>
              <w:rPr>
                <w:rFonts w:ascii="Garamond" w:eastAsia="Times New Roman" w:hAnsi="Garamond" w:cs="Calibri"/>
                <w:color w:val="000000"/>
                <w:lang w:val="it-IT" w:eastAsia="it-IT"/>
              </w:rPr>
            </w:pPr>
            <w:r w:rsidRPr="000B143A">
              <w:rPr>
                <w:rFonts w:ascii="Garamond" w:eastAsia="Times New Roman" w:hAnsi="Garamond" w:cs="Calibri"/>
                <w:color w:val="000000"/>
                <w:lang w:eastAsia="it-IT"/>
              </w:rPr>
              <w:t>0,47</w:t>
            </w:r>
          </w:p>
        </w:tc>
        <w:tc>
          <w:tcPr>
            <w:tcW w:w="769" w:type="pct"/>
            <w:tcBorders>
              <w:top w:val="nil"/>
              <w:left w:val="nil"/>
              <w:bottom w:val="nil"/>
              <w:right w:val="nil"/>
            </w:tcBorders>
            <w:shd w:val="clear" w:color="auto" w:fill="auto"/>
            <w:noWrap/>
            <w:vAlign w:val="bottom"/>
            <w:hideMark/>
          </w:tcPr>
          <w:p w14:paraId="515E9F67" w14:textId="77777777" w:rsidR="00B779C7" w:rsidRPr="000B143A" w:rsidRDefault="00B779C7" w:rsidP="009527D3">
            <w:pPr>
              <w:rPr>
                <w:rFonts w:ascii="Garamond" w:eastAsia="Times New Roman" w:hAnsi="Garamond" w:cs="Calibri"/>
                <w:color w:val="000000"/>
                <w:lang w:val="it-IT" w:eastAsia="it-IT"/>
              </w:rPr>
            </w:pPr>
            <w:r w:rsidRPr="000B143A">
              <w:rPr>
                <w:rFonts w:ascii="Garamond" w:eastAsia="Times New Roman" w:hAnsi="Garamond" w:cs="Calibri"/>
                <w:color w:val="000000"/>
                <w:lang w:eastAsia="it-IT"/>
              </w:rPr>
              <w:t>0,5</w:t>
            </w:r>
          </w:p>
        </w:tc>
      </w:tr>
      <w:tr w:rsidR="00B779C7" w:rsidRPr="000B143A" w14:paraId="1E485B45" w14:textId="77777777" w:rsidTr="009527D3">
        <w:trPr>
          <w:trHeight w:val="288"/>
          <w:jc w:val="center"/>
        </w:trPr>
        <w:tc>
          <w:tcPr>
            <w:tcW w:w="1945" w:type="pct"/>
            <w:tcBorders>
              <w:top w:val="nil"/>
              <w:left w:val="nil"/>
              <w:bottom w:val="nil"/>
              <w:right w:val="nil"/>
            </w:tcBorders>
            <w:shd w:val="clear" w:color="auto" w:fill="auto"/>
            <w:noWrap/>
            <w:vAlign w:val="center"/>
            <w:hideMark/>
          </w:tcPr>
          <w:p w14:paraId="0A22AC26" w14:textId="77777777" w:rsidR="00B779C7" w:rsidRPr="000B143A" w:rsidRDefault="00B779C7" w:rsidP="009527D3">
            <w:pPr>
              <w:rPr>
                <w:rFonts w:ascii="Garamond" w:eastAsia="Times New Roman" w:hAnsi="Garamond" w:cs="Calibri"/>
                <w:color w:val="000000"/>
                <w:lang w:val="it-IT" w:eastAsia="it-IT"/>
              </w:rPr>
            </w:pPr>
            <w:r w:rsidRPr="000B143A">
              <w:rPr>
                <w:rFonts w:ascii="Garamond" w:eastAsia="Times New Roman" w:hAnsi="Garamond" w:cs="Calibri"/>
                <w:color w:val="000000"/>
                <w:lang w:eastAsia="it-IT"/>
              </w:rPr>
              <w:t>Impiegato</w:t>
            </w:r>
          </w:p>
        </w:tc>
        <w:tc>
          <w:tcPr>
            <w:tcW w:w="755" w:type="pct"/>
            <w:tcBorders>
              <w:top w:val="nil"/>
              <w:left w:val="nil"/>
              <w:bottom w:val="nil"/>
              <w:right w:val="nil"/>
            </w:tcBorders>
            <w:shd w:val="clear" w:color="auto" w:fill="auto"/>
            <w:noWrap/>
            <w:vAlign w:val="center"/>
            <w:hideMark/>
          </w:tcPr>
          <w:p w14:paraId="6F32DAFC" w14:textId="77777777" w:rsidR="00B779C7" w:rsidRPr="000B143A" w:rsidRDefault="00B779C7" w:rsidP="009527D3">
            <w:pPr>
              <w:rPr>
                <w:rFonts w:ascii="Garamond" w:eastAsia="Times New Roman" w:hAnsi="Garamond" w:cs="Calibri"/>
                <w:color w:val="000000"/>
                <w:lang w:val="it-IT" w:eastAsia="it-IT"/>
              </w:rPr>
            </w:pPr>
            <w:r w:rsidRPr="000B143A">
              <w:rPr>
                <w:rFonts w:ascii="Garamond" w:eastAsia="Times New Roman" w:hAnsi="Garamond" w:cs="Calibri"/>
                <w:color w:val="000000"/>
                <w:lang w:eastAsia="it-IT"/>
              </w:rPr>
              <w:t>0,46</w:t>
            </w:r>
          </w:p>
        </w:tc>
        <w:tc>
          <w:tcPr>
            <w:tcW w:w="963" w:type="pct"/>
            <w:tcBorders>
              <w:top w:val="nil"/>
              <w:left w:val="nil"/>
              <w:bottom w:val="nil"/>
              <w:right w:val="nil"/>
            </w:tcBorders>
            <w:shd w:val="clear" w:color="auto" w:fill="auto"/>
            <w:noWrap/>
            <w:vAlign w:val="center"/>
            <w:hideMark/>
          </w:tcPr>
          <w:p w14:paraId="0D07E3B2" w14:textId="77777777" w:rsidR="00B779C7" w:rsidRPr="000B143A" w:rsidRDefault="00B779C7" w:rsidP="009527D3">
            <w:pPr>
              <w:rPr>
                <w:rFonts w:ascii="Garamond" w:eastAsia="Times New Roman" w:hAnsi="Garamond" w:cs="Calibri"/>
                <w:color w:val="000000"/>
                <w:lang w:val="it-IT" w:eastAsia="it-IT"/>
              </w:rPr>
            </w:pPr>
            <w:r w:rsidRPr="000B143A">
              <w:rPr>
                <w:rFonts w:ascii="Garamond" w:eastAsia="Times New Roman" w:hAnsi="Garamond" w:cs="Calibri"/>
                <w:color w:val="000000"/>
                <w:lang w:eastAsia="it-IT"/>
              </w:rPr>
              <w:t>0,5</w:t>
            </w:r>
          </w:p>
        </w:tc>
        <w:tc>
          <w:tcPr>
            <w:tcW w:w="568" w:type="pct"/>
            <w:tcBorders>
              <w:top w:val="nil"/>
              <w:left w:val="nil"/>
              <w:bottom w:val="nil"/>
              <w:right w:val="nil"/>
            </w:tcBorders>
            <w:shd w:val="clear" w:color="auto" w:fill="auto"/>
            <w:noWrap/>
            <w:vAlign w:val="center"/>
            <w:hideMark/>
          </w:tcPr>
          <w:p w14:paraId="02B6D7BE" w14:textId="77777777" w:rsidR="00B779C7" w:rsidRPr="000B143A" w:rsidRDefault="00B779C7" w:rsidP="009527D3">
            <w:pPr>
              <w:rPr>
                <w:rFonts w:ascii="Garamond" w:eastAsia="Times New Roman" w:hAnsi="Garamond" w:cs="Calibri"/>
                <w:color w:val="000000"/>
                <w:lang w:val="it-IT" w:eastAsia="it-IT"/>
              </w:rPr>
            </w:pPr>
            <w:r w:rsidRPr="000B143A">
              <w:rPr>
                <w:rFonts w:ascii="Garamond" w:eastAsia="Times New Roman" w:hAnsi="Garamond" w:cs="Calibri"/>
                <w:color w:val="000000"/>
                <w:lang w:eastAsia="it-IT"/>
              </w:rPr>
              <w:t>0,45</w:t>
            </w:r>
          </w:p>
        </w:tc>
        <w:tc>
          <w:tcPr>
            <w:tcW w:w="769" w:type="pct"/>
            <w:tcBorders>
              <w:top w:val="nil"/>
              <w:left w:val="nil"/>
              <w:bottom w:val="nil"/>
              <w:right w:val="nil"/>
            </w:tcBorders>
            <w:shd w:val="clear" w:color="auto" w:fill="auto"/>
            <w:noWrap/>
            <w:vAlign w:val="bottom"/>
            <w:hideMark/>
          </w:tcPr>
          <w:p w14:paraId="3B7F50B7" w14:textId="77777777" w:rsidR="00B779C7" w:rsidRPr="000B143A" w:rsidRDefault="00B779C7" w:rsidP="009527D3">
            <w:pPr>
              <w:rPr>
                <w:rFonts w:ascii="Garamond" w:eastAsia="Times New Roman" w:hAnsi="Garamond" w:cs="Calibri"/>
                <w:color w:val="000000"/>
                <w:lang w:val="it-IT" w:eastAsia="it-IT"/>
              </w:rPr>
            </w:pPr>
            <w:r w:rsidRPr="000B143A">
              <w:rPr>
                <w:rFonts w:ascii="Garamond" w:eastAsia="Times New Roman" w:hAnsi="Garamond" w:cs="Calibri"/>
                <w:color w:val="000000"/>
                <w:lang w:eastAsia="it-IT"/>
              </w:rPr>
              <w:t>0,5</w:t>
            </w:r>
          </w:p>
        </w:tc>
      </w:tr>
      <w:tr w:rsidR="00B779C7" w:rsidRPr="000B143A" w14:paraId="13E2469E" w14:textId="77777777" w:rsidTr="009527D3">
        <w:trPr>
          <w:trHeight w:val="288"/>
          <w:jc w:val="center"/>
        </w:trPr>
        <w:tc>
          <w:tcPr>
            <w:tcW w:w="1945" w:type="pct"/>
            <w:tcBorders>
              <w:top w:val="nil"/>
              <w:left w:val="nil"/>
              <w:bottom w:val="single" w:sz="4" w:space="0" w:color="auto"/>
              <w:right w:val="nil"/>
            </w:tcBorders>
            <w:shd w:val="clear" w:color="auto" w:fill="auto"/>
            <w:noWrap/>
            <w:vAlign w:val="center"/>
            <w:hideMark/>
          </w:tcPr>
          <w:p w14:paraId="58E227ED" w14:textId="77777777" w:rsidR="00B779C7" w:rsidRPr="000B143A" w:rsidRDefault="00B779C7" w:rsidP="009527D3">
            <w:pPr>
              <w:rPr>
                <w:rFonts w:ascii="Garamond" w:eastAsia="Times New Roman" w:hAnsi="Garamond" w:cs="Calibri"/>
                <w:color w:val="000000"/>
                <w:lang w:val="it-IT" w:eastAsia="it-IT"/>
              </w:rPr>
            </w:pPr>
            <w:r w:rsidRPr="000B143A">
              <w:rPr>
                <w:rFonts w:ascii="Garamond" w:eastAsia="Times New Roman" w:hAnsi="Garamond" w:cs="Calibri"/>
                <w:color w:val="000000"/>
                <w:lang w:eastAsia="it-IT"/>
              </w:rPr>
              <w:t>Dirigente</w:t>
            </w:r>
          </w:p>
        </w:tc>
        <w:tc>
          <w:tcPr>
            <w:tcW w:w="755" w:type="pct"/>
            <w:tcBorders>
              <w:top w:val="nil"/>
              <w:left w:val="nil"/>
              <w:bottom w:val="single" w:sz="4" w:space="0" w:color="auto"/>
              <w:right w:val="nil"/>
            </w:tcBorders>
            <w:shd w:val="clear" w:color="auto" w:fill="auto"/>
            <w:noWrap/>
            <w:vAlign w:val="center"/>
            <w:hideMark/>
          </w:tcPr>
          <w:p w14:paraId="7722A256" w14:textId="77777777" w:rsidR="00B779C7" w:rsidRPr="000B143A" w:rsidRDefault="00B779C7" w:rsidP="009527D3">
            <w:pPr>
              <w:rPr>
                <w:rFonts w:ascii="Garamond" w:eastAsia="Times New Roman" w:hAnsi="Garamond" w:cs="Calibri"/>
                <w:color w:val="000000"/>
                <w:lang w:val="it-IT" w:eastAsia="it-IT"/>
              </w:rPr>
            </w:pPr>
            <w:r w:rsidRPr="000B143A">
              <w:rPr>
                <w:rFonts w:ascii="Garamond" w:eastAsia="Times New Roman" w:hAnsi="Garamond" w:cs="Calibri"/>
                <w:color w:val="000000"/>
                <w:lang w:eastAsia="it-IT"/>
              </w:rPr>
              <w:t>0,04</w:t>
            </w:r>
          </w:p>
        </w:tc>
        <w:tc>
          <w:tcPr>
            <w:tcW w:w="963" w:type="pct"/>
            <w:tcBorders>
              <w:top w:val="nil"/>
              <w:left w:val="nil"/>
              <w:bottom w:val="single" w:sz="4" w:space="0" w:color="auto"/>
              <w:right w:val="nil"/>
            </w:tcBorders>
            <w:shd w:val="clear" w:color="auto" w:fill="auto"/>
            <w:noWrap/>
            <w:vAlign w:val="center"/>
            <w:hideMark/>
          </w:tcPr>
          <w:p w14:paraId="06BAA506" w14:textId="77777777" w:rsidR="00B779C7" w:rsidRPr="000B143A" w:rsidRDefault="00B779C7" w:rsidP="009527D3">
            <w:pPr>
              <w:rPr>
                <w:rFonts w:ascii="Garamond" w:eastAsia="Times New Roman" w:hAnsi="Garamond" w:cs="Calibri"/>
                <w:color w:val="000000"/>
                <w:lang w:val="it-IT" w:eastAsia="it-IT"/>
              </w:rPr>
            </w:pPr>
            <w:r w:rsidRPr="000B143A">
              <w:rPr>
                <w:rFonts w:ascii="Garamond" w:eastAsia="Times New Roman" w:hAnsi="Garamond" w:cs="Calibri"/>
                <w:color w:val="000000"/>
                <w:lang w:eastAsia="it-IT"/>
              </w:rPr>
              <w:t>0,2</w:t>
            </w:r>
          </w:p>
        </w:tc>
        <w:tc>
          <w:tcPr>
            <w:tcW w:w="568" w:type="pct"/>
            <w:tcBorders>
              <w:top w:val="nil"/>
              <w:left w:val="nil"/>
              <w:bottom w:val="single" w:sz="4" w:space="0" w:color="auto"/>
              <w:right w:val="nil"/>
            </w:tcBorders>
            <w:shd w:val="clear" w:color="auto" w:fill="auto"/>
            <w:noWrap/>
            <w:vAlign w:val="center"/>
            <w:hideMark/>
          </w:tcPr>
          <w:p w14:paraId="41597A52" w14:textId="77777777" w:rsidR="00B779C7" w:rsidRPr="000B143A" w:rsidRDefault="00B779C7" w:rsidP="009527D3">
            <w:pPr>
              <w:rPr>
                <w:rFonts w:ascii="Garamond" w:eastAsia="Times New Roman" w:hAnsi="Garamond" w:cs="Calibri"/>
                <w:color w:val="000000"/>
                <w:lang w:val="it-IT" w:eastAsia="it-IT"/>
              </w:rPr>
            </w:pPr>
            <w:r w:rsidRPr="000B143A">
              <w:rPr>
                <w:rFonts w:ascii="Garamond" w:eastAsia="Times New Roman" w:hAnsi="Garamond" w:cs="Calibri"/>
                <w:color w:val="000000"/>
                <w:lang w:eastAsia="it-IT"/>
              </w:rPr>
              <w:t>0,04</w:t>
            </w:r>
          </w:p>
        </w:tc>
        <w:tc>
          <w:tcPr>
            <w:tcW w:w="769" w:type="pct"/>
            <w:tcBorders>
              <w:top w:val="nil"/>
              <w:left w:val="nil"/>
              <w:bottom w:val="single" w:sz="4" w:space="0" w:color="auto"/>
              <w:right w:val="nil"/>
            </w:tcBorders>
            <w:shd w:val="clear" w:color="auto" w:fill="auto"/>
            <w:noWrap/>
            <w:vAlign w:val="bottom"/>
            <w:hideMark/>
          </w:tcPr>
          <w:p w14:paraId="20B67CE6" w14:textId="77777777" w:rsidR="00B779C7" w:rsidRPr="000B143A" w:rsidRDefault="00B779C7" w:rsidP="009527D3">
            <w:pPr>
              <w:rPr>
                <w:rFonts w:ascii="Garamond" w:eastAsia="Times New Roman" w:hAnsi="Garamond" w:cs="Calibri"/>
                <w:color w:val="000000"/>
                <w:lang w:val="it-IT" w:eastAsia="it-IT"/>
              </w:rPr>
            </w:pPr>
            <w:r w:rsidRPr="000B143A">
              <w:rPr>
                <w:rFonts w:ascii="Garamond" w:eastAsia="Times New Roman" w:hAnsi="Garamond" w:cs="Calibri"/>
                <w:color w:val="000000"/>
                <w:lang w:eastAsia="it-IT"/>
              </w:rPr>
              <w:t>0,19</w:t>
            </w:r>
          </w:p>
        </w:tc>
      </w:tr>
      <w:tr w:rsidR="00B779C7" w:rsidRPr="000B143A" w14:paraId="67D670FA" w14:textId="77777777" w:rsidTr="009527D3">
        <w:trPr>
          <w:trHeight w:val="300"/>
          <w:jc w:val="center"/>
        </w:trPr>
        <w:tc>
          <w:tcPr>
            <w:tcW w:w="1945" w:type="pct"/>
            <w:tcBorders>
              <w:top w:val="single" w:sz="4" w:space="0" w:color="auto"/>
              <w:left w:val="nil"/>
              <w:bottom w:val="double" w:sz="6" w:space="0" w:color="auto"/>
              <w:right w:val="nil"/>
            </w:tcBorders>
            <w:shd w:val="clear" w:color="auto" w:fill="auto"/>
            <w:noWrap/>
            <w:vAlign w:val="center"/>
            <w:hideMark/>
          </w:tcPr>
          <w:p w14:paraId="6ABBE4AD" w14:textId="77777777" w:rsidR="00B779C7" w:rsidRPr="000B143A" w:rsidRDefault="00B779C7" w:rsidP="009527D3">
            <w:pPr>
              <w:rPr>
                <w:rFonts w:ascii="Garamond" w:eastAsia="Times New Roman" w:hAnsi="Garamond" w:cs="Calibri"/>
                <w:color w:val="000000"/>
                <w:lang w:val="it-IT" w:eastAsia="it-IT"/>
              </w:rPr>
            </w:pPr>
            <w:r w:rsidRPr="000B143A">
              <w:rPr>
                <w:rFonts w:ascii="Garamond" w:eastAsia="Times New Roman" w:hAnsi="Garamond" w:cs="Calibri"/>
                <w:color w:val="000000"/>
                <w:lang w:eastAsia="it-IT"/>
              </w:rPr>
              <w:t>Totale osservazioni</w:t>
            </w:r>
          </w:p>
        </w:tc>
        <w:tc>
          <w:tcPr>
            <w:tcW w:w="1718" w:type="pct"/>
            <w:gridSpan w:val="2"/>
            <w:tcBorders>
              <w:top w:val="single" w:sz="4" w:space="0" w:color="auto"/>
              <w:left w:val="nil"/>
              <w:bottom w:val="double" w:sz="6" w:space="0" w:color="auto"/>
              <w:right w:val="nil"/>
            </w:tcBorders>
            <w:shd w:val="clear" w:color="auto" w:fill="auto"/>
            <w:noWrap/>
            <w:vAlign w:val="center"/>
            <w:hideMark/>
          </w:tcPr>
          <w:p w14:paraId="4540B36A" w14:textId="77777777" w:rsidR="00B779C7" w:rsidRPr="000B143A" w:rsidRDefault="00B779C7" w:rsidP="009527D3">
            <w:pPr>
              <w:rPr>
                <w:rFonts w:ascii="Garamond" w:eastAsia="Times New Roman" w:hAnsi="Garamond" w:cs="Calibri"/>
                <w:color w:val="000000"/>
                <w:lang w:val="it-IT" w:eastAsia="it-IT"/>
              </w:rPr>
            </w:pPr>
            <w:r w:rsidRPr="000B143A">
              <w:rPr>
                <w:rFonts w:ascii="Garamond" w:eastAsia="Times New Roman" w:hAnsi="Garamond" w:cs="Calibri"/>
                <w:color w:val="000000"/>
                <w:lang w:eastAsia="it-IT"/>
              </w:rPr>
              <w:t>2.533.565</w:t>
            </w:r>
          </w:p>
        </w:tc>
        <w:tc>
          <w:tcPr>
            <w:tcW w:w="1337" w:type="pct"/>
            <w:gridSpan w:val="2"/>
            <w:tcBorders>
              <w:top w:val="single" w:sz="4" w:space="0" w:color="auto"/>
              <w:left w:val="nil"/>
              <w:bottom w:val="double" w:sz="6" w:space="0" w:color="auto"/>
              <w:right w:val="nil"/>
            </w:tcBorders>
            <w:shd w:val="clear" w:color="auto" w:fill="auto"/>
            <w:noWrap/>
            <w:vAlign w:val="center"/>
            <w:hideMark/>
          </w:tcPr>
          <w:p w14:paraId="5E2FB8EE" w14:textId="77777777" w:rsidR="00B779C7" w:rsidRPr="000B143A" w:rsidRDefault="00B779C7" w:rsidP="009527D3">
            <w:pPr>
              <w:rPr>
                <w:rFonts w:ascii="Garamond" w:eastAsia="Times New Roman" w:hAnsi="Garamond" w:cs="Calibri"/>
                <w:color w:val="000000"/>
                <w:lang w:val="it-IT" w:eastAsia="it-IT"/>
              </w:rPr>
            </w:pPr>
            <w:r w:rsidRPr="000B143A">
              <w:rPr>
                <w:rFonts w:ascii="Garamond" w:eastAsia="Times New Roman" w:hAnsi="Garamond" w:cs="Calibri"/>
                <w:color w:val="000000"/>
                <w:lang w:eastAsia="it-IT"/>
              </w:rPr>
              <w:t>2.949.733</w:t>
            </w:r>
          </w:p>
        </w:tc>
      </w:tr>
    </w:tbl>
    <w:p w14:paraId="21A30F7E" w14:textId="34AF1836" w:rsidR="00206460" w:rsidRDefault="00206460" w:rsidP="009367EE">
      <w:pPr>
        <w:spacing w:after="120"/>
        <w:jc w:val="both"/>
        <w:rPr>
          <w:rFonts w:ascii="Times New Roman" w:hAnsi="Times New Roman"/>
          <w:sz w:val="20"/>
          <w:szCs w:val="24"/>
        </w:rPr>
      </w:pPr>
      <w:r w:rsidRPr="00157427">
        <w:rPr>
          <w:rFonts w:ascii="Times New Roman" w:hAnsi="Times New Roman"/>
          <w:sz w:val="20"/>
          <w:szCs w:val="24"/>
        </w:rPr>
        <w:t>Note</w:t>
      </w:r>
      <w:r w:rsidR="00DB01E3">
        <w:rPr>
          <w:rFonts w:ascii="Times New Roman" w:hAnsi="Times New Roman"/>
          <w:sz w:val="20"/>
          <w:szCs w:val="24"/>
        </w:rPr>
        <w:t>s</w:t>
      </w:r>
      <w:r w:rsidRPr="00157427">
        <w:rPr>
          <w:rFonts w:ascii="Times New Roman" w:hAnsi="Times New Roman"/>
          <w:sz w:val="20"/>
          <w:szCs w:val="24"/>
        </w:rPr>
        <w:t>: mean increase in average policy making is +3.96</w:t>
      </w:r>
      <w:r>
        <w:rPr>
          <w:rFonts w:ascii="Times New Roman" w:hAnsi="Times New Roman"/>
          <w:sz w:val="20"/>
          <w:szCs w:val="24"/>
        </w:rPr>
        <w:t>pp</w:t>
      </w:r>
      <w:r w:rsidRPr="00157427">
        <w:rPr>
          <w:rFonts w:ascii="Times New Roman" w:hAnsi="Times New Roman"/>
          <w:sz w:val="20"/>
          <w:szCs w:val="24"/>
        </w:rPr>
        <w:t xml:space="preserve"> with </w:t>
      </w:r>
      <w:r>
        <w:rPr>
          <w:rFonts w:ascii="Times New Roman" w:hAnsi="Times New Roman"/>
          <w:sz w:val="20"/>
          <w:szCs w:val="24"/>
        </w:rPr>
        <w:t xml:space="preserve">a standard deviation of </w:t>
      </w:r>
      <w:r w:rsidRPr="00157427">
        <w:rPr>
          <w:rFonts w:ascii="Times New Roman" w:hAnsi="Times New Roman"/>
          <w:sz w:val="20"/>
          <w:szCs w:val="24"/>
        </w:rPr>
        <w:t>4</w:t>
      </w:r>
      <w:r>
        <w:rPr>
          <w:rFonts w:ascii="Times New Roman" w:hAnsi="Times New Roman"/>
          <w:sz w:val="20"/>
          <w:szCs w:val="24"/>
        </w:rPr>
        <w:t>.</w:t>
      </w:r>
      <w:r w:rsidRPr="00157427">
        <w:rPr>
          <w:rFonts w:ascii="Times New Roman" w:hAnsi="Times New Roman"/>
          <w:sz w:val="20"/>
          <w:szCs w:val="24"/>
        </w:rPr>
        <w:t>56</w:t>
      </w:r>
      <w:r>
        <w:rPr>
          <w:rFonts w:ascii="Times New Roman" w:hAnsi="Times New Roman"/>
          <w:sz w:val="20"/>
          <w:szCs w:val="24"/>
        </w:rPr>
        <w:t>pp</w:t>
      </w:r>
      <w:r w:rsidR="00DB01E3">
        <w:rPr>
          <w:rFonts w:ascii="Times New Roman" w:hAnsi="Times New Roman"/>
          <w:sz w:val="20"/>
          <w:szCs w:val="24"/>
        </w:rPr>
        <w:t>; countries in bold</w:t>
      </w:r>
      <w:r w:rsidR="006374CB">
        <w:rPr>
          <w:rFonts w:ascii="Times New Roman" w:hAnsi="Times New Roman"/>
          <w:sz w:val="20"/>
          <w:szCs w:val="24"/>
        </w:rPr>
        <w:t xml:space="preserve"> were </w:t>
      </w:r>
      <w:r w:rsidR="006374CB" w:rsidRPr="006374CB">
        <w:rPr>
          <w:rFonts w:ascii="Times New Roman" w:hAnsi="Times New Roman"/>
          <w:sz w:val="20"/>
          <w:szCs w:val="24"/>
        </w:rPr>
        <w:t xml:space="preserve">subject to intense </w:t>
      </w:r>
      <w:r w:rsidR="0031163A">
        <w:rPr>
          <w:rFonts w:ascii="Times New Roman" w:hAnsi="Times New Roman"/>
          <w:sz w:val="20"/>
          <w:szCs w:val="24"/>
        </w:rPr>
        <w:t xml:space="preserve">supranational </w:t>
      </w:r>
      <w:r w:rsidR="006374CB" w:rsidRPr="006374CB">
        <w:rPr>
          <w:rFonts w:ascii="Times New Roman" w:hAnsi="Times New Roman"/>
          <w:sz w:val="20"/>
          <w:szCs w:val="24"/>
        </w:rPr>
        <w:t>pressure to reform their labour markets</w:t>
      </w:r>
      <w:r w:rsidR="006374CB">
        <w:rPr>
          <w:rFonts w:ascii="Times New Roman" w:hAnsi="Times New Roman"/>
          <w:sz w:val="20"/>
          <w:szCs w:val="24"/>
        </w:rPr>
        <w:t>.</w:t>
      </w:r>
    </w:p>
    <w:p w14:paraId="139B6E41" w14:textId="77777777" w:rsidR="006F6F49" w:rsidRPr="009C001E" w:rsidRDefault="006F6F49" w:rsidP="006F6F49">
      <w:pPr>
        <w:suppressLineNumbers/>
        <w:spacing w:before="60" w:after="240"/>
        <w:jc w:val="left"/>
        <w:rPr>
          <w:sz w:val="18"/>
          <w:szCs w:val="18"/>
        </w:rPr>
      </w:pPr>
      <w:r w:rsidRPr="009C001E">
        <w:rPr>
          <w:sz w:val="18"/>
          <w:szCs w:val="18"/>
        </w:rPr>
        <w:t>Source: Authors’ calculations based on EU-SILC longitudinal data</w:t>
      </w:r>
      <w:r>
        <w:rPr>
          <w:sz w:val="18"/>
          <w:szCs w:val="18"/>
        </w:rPr>
        <w:t xml:space="preserve"> (2006-2012)</w:t>
      </w:r>
      <w:r w:rsidRPr="009C001E">
        <w:rPr>
          <w:sz w:val="18"/>
          <w:szCs w:val="18"/>
        </w:rPr>
        <w:t xml:space="preserve"> and LABREF database (2004-2012).</w:t>
      </w:r>
    </w:p>
    <w:p w14:paraId="07961BF6" w14:textId="133B8353" w:rsidR="00206460" w:rsidRPr="00EF7D7D" w:rsidRDefault="00206460" w:rsidP="00206460">
      <w:pPr>
        <w:spacing w:after="120" w:line="300" w:lineRule="auto"/>
        <w:jc w:val="both"/>
        <w:rPr>
          <w:rFonts w:ascii="Times New Roman" w:hAnsi="Times New Roman"/>
          <w:sz w:val="24"/>
          <w:szCs w:val="24"/>
        </w:rPr>
      </w:pPr>
      <w:r>
        <w:rPr>
          <w:rFonts w:ascii="Times New Roman" w:hAnsi="Times New Roman"/>
          <w:sz w:val="24"/>
          <w:szCs w:val="24"/>
        </w:rPr>
        <w:t xml:space="preserve">As we point out elsewhere (Smith </w:t>
      </w:r>
      <w:r w:rsidRPr="005560B7">
        <w:rPr>
          <w:rFonts w:ascii="Times New Roman" w:hAnsi="Times New Roman"/>
          <w:sz w:val="24"/>
          <w:szCs w:val="24"/>
        </w:rPr>
        <w:t>and</w:t>
      </w:r>
      <w:r>
        <w:rPr>
          <w:rFonts w:ascii="Times New Roman" w:hAnsi="Times New Roman"/>
          <w:sz w:val="24"/>
          <w:szCs w:val="24"/>
        </w:rPr>
        <w:t xml:space="preserve"> Villa 2020) much of the increase in policy intensity was driven by </w:t>
      </w:r>
      <w:r w:rsidR="00981CF5">
        <w:rPr>
          <w:rFonts w:ascii="Times New Roman" w:hAnsi="Times New Roman"/>
          <w:sz w:val="24"/>
          <w:szCs w:val="24"/>
        </w:rPr>
        <w:t>efforts to enhance</w:t>
      </w:r>
      <w:r>
        <w:rPr>
          <w:rFonts w:ascii="Times New Roman" w:hAnsi="Times New Roman"/>
          <w:sz w:val="24"/>
          <w:szCs w:val="24"/>
        </w:rPr>
        <w:t xml:space="preserve"> ALMP to respond to the challenges on the youth labour market </w:t>
      </w:r>
      <w:r w:rsidR="00237792">
        <w:rPr>
          <w:rFonts w:ascii="Times New Roman" w:hAnsi="Times New Roman"/>
          <w:sz w:val="24"/>
          <w:szCs w:val="24"/>
        </w:rPr>
        <w:t xml:space="preserve">(i.e. </w:t>
      </w:r>
      <w:r w:rsidR="0002618C">
        <w:rPr>
          <w:rFonts w:ascii="Times New Roman" w:hAnsi="Times New Roman"/>
          <w:sz w:val="24"/>
          <w:szCs w:val="24"/>
        </w:rPr>
        <w:t>supporting</w:t>
      </w:r>
      <w:r w:rsidR="00237792">
        <w:rPr>
          <w:rFonts w:ascii="Times New Roman" w:hAnsi="Times New Roman"/>
          <w:sz w:val="24"/>
          <w:szCs w:val="24"/>
        </w:rPr>
        <w:t xml:space="preserve"> security in the labour market) </w:t>
      </w:r>
      <w:r>
        <w:rPr>
          <w:rFonts w:ascii="Times New Roman" w:hAnsi="Times New Roman"/>
          <w:sz w:val="24"/>
          <w:szCs w:val="24"/>
        </w:rPr>
        <w:t>combined with pressure to weaken EPL arrangements seen as a means to open access to employment</w:t>
      </w:r>
      <w:r w:rsidR="00237792">
        <w:rPr>
          <w:rFonts w:ascii="Times New Roman" w:hAnsi="Times New Roman"/>
          <w:sz w:val="24"/>
          <w:szCs w:val="24"/>
        </w:rPr>
        <w:t xml:space="preserve"> (i.e. increasing flexibility)</w:t>
      </w:r>
      <w:r>
        <w:rPr>
          <w:rFonts w:ascii="Times New Roman" w:hAnsi="Times New Roman"/>
          <w:sz w:val="24"/>
          <w:szCs w:val="24"/>
        </w:rPr>
        <w:t xml:space="preserve">. These measures were encouraged by guidance from the EC and pressure to reform the operation of the labour market in response to the </w:t>
      </w:r>
      <w:r w:rsidR="00D25F2C">
        <w:rPr>
          <w:rFonts w:ascii="Times New Roman" w:hAnsi="Times New Roman"/>
          <w:sz w:val="24"/>
          <w:szCs w:val="24"/>
        </w:rPr>
        <w:t>c</w:t>
      </w:r>
      <w:r>
        <w:rPr>
          <w:rFonts w:ascii="Times New Roman" w:hAnsi="Times New Roman"/>
          <w:sz w:val="24"/>
          <w:szCs w:val="24"/>
        </w:rPr>
        <w:t>risis (</w:t>
      </w:r>
      <w:r w:rsidR="007779B6" w:rsidRPr="007779B6">
        <w:rPr>
          <w:rFonts w:ascii="Times New Roman" w:hAnsi="Times New Roman"/>
          <w:sz w:val="24"/>
          <w:szCs w:val="24"/>
        </w:rPr>
        <w:t>Smith</w:t>
      </w:r>
      <w:r w:rsidR="005560B7">
        <w:rPr>
          <w:rFonts w:ascii="Times New Roman" w:hAnsi="Times New Roman"/>
          <w:sz w:val="24"/>
          <w:szCs w:val="24"/>
        </w:rPr>
        <w:t xml:space="preserve"> </w:t>
      </w:r>
      <w:r w:rsidR="005560B7">
        <w:rPr>
          <w:rFonts w:ascii="Times New Roman" w:hAnsi="Times New Roman"/>
          <w:i/>
          <w:sz w:val="24"/>
          <w:szCs w:val="24"/>
        </w:rPr>
        <w:t>et al.</w:t>
      </w:r>
      <w:r>
        <w:rPr>
          <w:rFonts w:ascii="Times New Roman" w:hAnsi="Times New Roman"/>
          <w:sz w:val="24"/>
          <w:szCs w:val="24"/>
        </w:rPr>
        <w:t xml:space="preserve"> 2019). </w:t>
      </w:r>
      <w:r w:rsidR="00425FD9" w:rsidRPr="00EF7D7D">
        <w:rPr>
          <w:rFonts w:ascii="Times New Roman" w:hAnsi="Times New Roman"/>
          <w:sz w:val="24"/>
          <w:szCs w:val="24"/>
        </w:rPr>
        <w:t xml:space="preserve">In other words, labour market reforms were driven by external pressures in a situation of a dramatic fall in aggregate demand, rather than a by a coherent strategy towards more efficient national settings. Also, reforms were based on a downward pressure on job security and a strengthening of employment security through ALMPs, despite slack of demand (Smith </w:t>
      </w:r>
      <w:r w:rsidR="00425FD9" w:rsidRPr="00E714A6">
        <w:rPr>
          <w:rFonts w:ascii="Times New Roman" w:hAnsi="Times New Roman"/>
          <w:i/>
          <w:sz w:val="24"/>
          <w:szCs w:val="24"/>
        </w:rPr>
        <w:t>et al.</w:t>
      </w:r>
      <w:r w:rsidR="00425FD9" w:rsidRPr="00EF7D7D">
        <w:rPr>
          <w:rFonts w:ascii="Times New Roman" w:hAnsi="Times New Roman"/>
          <w:sz w:val="24"/>
          <w:szCs w:val="24"/>
        </w:rPr>
        <w:t xml:space="preserve"> 2019). </w:t>
      </w:r>
    </w:p>
    <w:p w14:paraId="31948D07" w14:textId="77777777" w:rsidR="00F02179" w:rsidRPr="0038757F" w:rsidRDefault="00F02179" w:rsidP="0038757F">
      <w:pPr>
        <w:spacing w:after="120" w:line="300" w:lineRule="auto"/>
        <w:jc w:val="both"/>
        <w:rPr>
          <w:rFonts w:ascii="Times New Roman" w:hAnsi="Times New Roman"/>
          <w:vanish/>
          <w:sz w:val="24"/>
          <w:szCs w:val="24"/>
        </w:rPr>
      </w:pPr>
    </w:p>
    <w:p w14:paraId="3CB0674B" w14:textId="2BC55936" w:rsidR="00324745" w:rsidRPr="00EF7D7D" w:rsidRDefault="00A830F4" w:rsidP="003B2645">
      <w:pPr>
        <w:spacing w:before="360" w:after="120" w:line="300" w:lineRule="auto"/>
        <w:jc w:val="both"/>
        <w:rPr>
          <w:rFonts w:ascii="Times New Roman" w:hAnsi="Times New Roman"/>
          <w:b/>
          <w:sz w:val="24"/>
          <w:szCs w:val="24"/>
        </w:rPr>
      </w:pPr>
      <w:r w:rsidRPr="00E86E0E">
        <w:rPr>
          <w:rFonts w:ascii="Times New Roman" w:hAnsi="Times New Roman"/>
          <w:b/>
          <w:sz w:val="24"/>
          <w:szCs w:val="24"/>
        </w:rPr>
        <w:t>CONCLUSIONS</w:t>
      </w:r>
      <w:r w:rsidR="00D80F9C">
        <w:rPr>
          <w:rFonts w:ascii="Times New Roman" w:hAnsi="Times New Roman"/>
          <w:b/>
          <w:sz w:val="24"/>
          <w:szCs w:val="24"/>
        </w:rPr>
        <w:t xml:space="preserve"> </w:t>
      </w:r>
      <w:r w:rsidR="00D80F9C" w:rsidRPr="00EF7D7D">
        <w:rPr>
          <w:rFonts w:ascii="Times New Roman" w:hAnsi="Times New Roman"/>
          <w:b/>
          <w:sz w:val="24"/>
          <w:szCs w:val="24"/>
        </w:rPr>
        <w:t>AND DISCUSSION</w:t>
      </w:r>
    </w:p>
    <w:p w14:paraId="5677757F" w14:textId="6BEFC9DD" w:rsidR="00F916E6" w:rsidRPr="00E86E0E" w:rsidRDefault="00F23EF1" w:rsidP="009A515B">
      <w:pPr>
        <w:spacing w:after="120" w:line="300" w:lineRule="auto"/>
        <w:jc w:val="both"/>
        <w:rPr>
          <w:rFonts w:ascii="Times New Roman" w:hAnsi="Times New Roman"/>
          <w:sz w:val="24"/>
          <w:szCs w:val="24"/>
        </w:rPr>
      </w:pPr>
      <w:r w:rsidRPr="00EF7D7D">
        <w:rPr>
          <w:rFonts w:ascii="Times New Roman" w:hAnsi="Times New Roman"/>
          <w:sz w:val="24"/>
          <w:szCs w:val="24"/>
        </w:rPr>
        <w:t xml:space="preserve">The Great Recession was a turbulent </w:t>
      </w:r>
      <w:r>
        <w:rPr>
          <w:rFonts w:ascii="Times New Roman" w:hAnsi="Times New Roman"/>
          <w:sz w:val="24"/>
          <w:szCs w:val="24"/>
        </w:rPr>
        <w:t xml:space="preserve">time for labour market outcomes and labour market policy making. </w:t>
      </w:r>
      <w:r w:rsidR="00F916E6" w:rsidRPr="00E86E0E">
        <w:rPr>
          <w:rFonts w:ascii="Times New Roman" w:hAnsi="Times New Roman"/>
          <w:sz w:val="24"/>
          <w:szCs w:val="24"/>
        </w:rPr>
        <w:t xml:space="preserve">Our </w:t>
      </w:r>
      <w:r>
        <w:rPr>
          <w:rFonts w:ascii="Times New Roman" w:hAnsi="Times New Roman"/>
          <w:sz w:val="24"/>
          <w:szCs w:val="24"/>
        </w:rPr>
        <w:t xml:space="preserve">dynamic </w:t>
      </w:r>
      <w:r w:rsidR="00F916E6" w:rsidRPr="00E86E0E">
        <w:rPr>
          <w:rFonts w:ascii="Times New Roman" w:hAnsi="Times New Roman"/>
          <w:sz w:val="24"/>
          <w:szCs w:val="24"/>
        </w:rPr>
        <w:t>a</w:t>
      </w:r>
      <w:r w:rsidR="00DB3128" w:rsidRPr="00E86E0E">
        <w:rPr>
          <w:rFonts w:ascii="Times New Roman" w:hAnsi="Times New Roman"/>
          <w:sz w:val="24"/>
          <w:szCs w:val="24"/>
        </w:rPr>
        <w:t xml:space="preserve">nalysis of </w:t>
      </w:r>
      <w:r>
        <w:rPr>
          <w:rFonts w:ascii="Times New Roman" w:hAnsi="Times New Roman"/>
          <w:sz w:val="24"/>
          <w:szCs w:val="24"/>
        </w:rPr>
        <w:t>the</w:t>
      </w:r>
      <w:r w:rsidR="00DB3128" w:rsidRPr="00E86E0E">
        <w:rPr>
          <w:rFonts w:ascii="Times New Roman" w:hAnsi="Times New Roman"/>
          <w:sz w:val="24"/>
          <w:szCs w:val="24"/>
        </w:rPr>
        <w:t xml:space="preserve"> labour market integration </w:t>
      </w:r>
      <w:r>
        <w:rPr>
          <w:rFonts w:ascii="Times New Roman" w:hAnsi="Times New Roman"/>
          <w:sz w:val="24"/>
          <w:szCs w:val="24"/>
        </w:rPr>
        <w:t xml:space="preserve">of young </w:t>
      </w:r>
      <w:r w:rsidR="007F350F">
        <w:rPr>
          <w:rFonts w:ascii="Times New Roman" w:hAnsi="Times New Roman"/>
          <w:sz w:val="24"/>
          <w:szCs w:val="24"/>
        </w:rPr>
        <w:t>adults, that</w:t>
      </w:r>
      <w:r>
        <w:rPr>
          <w:rFonts w:ascii="Times New Roman" w:hAnsi="Times New Roman"/>
          <w:sz w:val="24"/>
          <w:szCs w:val="24"/>
        </w:rPr>
        <w:t xml:space="preserve"> </w:t>
      </w:r>
      <w:r w:rsidR="00DB3128" w:rsidRPr="00E86E0E">
        <w:rPr>
          <w:rFonts w:ascii="Times New Roman" w:hAnsi="Times New Roman"/>
          <w:sz w:val="24"/>
          <w:szCs w:val="24"/>
        </w:rPr>
        <w:t xml:space="preserve">goes beyond the </w:t>
      </w:r>
      <w:r w:rsidR="00F916E6" w:rsidRPr="00E86E0E">
        <w:rPr>
          <w:rFonts w:ascii="Times New Roman" w:hAnsi="Times New Roman"/>
          <w:sz w:val="24"/>
          <w:szCs w:val="24"/>
        </w:rPr>
        <w:t xml:space="preserve">conventional </w:t>
      </w:r>
      <w:r w:rsidR="00DB3128" w:rsidRPr="00E86E0E">
        <w:rPr>
          <w:rFonts w:ascii="Times New Roman" w:hAnsi="Times New Roman"/>
          <w:sz w:val="24"/>
          <w:szCs w:val="24"/>
        </w:rPr>
        <w:t xml:space="preserve">analysis of </w:t>
      </w:r>
      <w:r>
        <w:rPr>
          <w:rFonts w:ascii="Times New Roman" w:hAnsi="Times New Roman"/>
          <w:sz w:val="24"/>
          <w:szCs w:val="24"/>
        </w:rPr>
        <w:t>school</w:t>
      </w:r>
      <w:r w:rsidR="00F02179">
        <w:rPr>
          <w:rFonts w:ascii="Times New Roman" w:hAnsi="Times New Roman"/>
          <w:sz w:val="24"/>
          <w:szCs w:val="24"/>
        </w:rPr>
        <w:t>-</w:t>
      </w:r>
      <w:r>
        <w:rPr>
          <w:rFonts w:ascii="Times New Roman" w:hAnsi="Times New Roman"/>
          <w:sz w:val="24"/>
          <w:szCs w:val="24"/>
        </w:rPr>
        <w:t>to</w:t>
      </w:r>
      <w:r w:rsidR="00F02179">
        <w:rPr>
          <w:rFonts w:ascii="Times New Roman" w:hAnsi="Times New Roman"/>
          <w:sz w:val="24"/>
          <w:szCs w:val="24"/>
        </w:rPr>
        <w:t>-</w:t>
      </w:r>
      <w:r>
        <w:rPr>
          <w:rFonts w:ascii="Times New Roman" w:hAnsi="Times New Roman"/>
          <w:sz w:val="24"/>
          <w:szCs w:val="24"/>
        </w:rPr>
        <w:t xml:space="preserve">work </w:t>
      </w:r>
      <w:r w:rsidR="00DB3128" w:rsidRPr="00E86E0E">
        <w:rPr>
          <w:rFonts w:ascii="Times New Roman" w:hAnsi="Times New Roman"/>
          <w:sz w:val="24"/>
          <w:szCs w:val="24"/>
        </w:rPr>
        <w:t>transition</w:t>
      </w:r>
      <w:r>
        <w:rPr>
          <w:rFonts w:ascii="Times New Roman" w:hAnsi="Times New Roman"/>
          <w:sz w:val="24"/>
          <w:szCs w:val="24"/>
        </w:rPr>
        <w:t>s</w:t>
      </w:r>
      <w:r w:rsidR="007F350F">
        <w:rPr>
          <w:rFonts w:ascii="Times New Roman" w:hAnsi="Times New Roman"/>
          <w:sz w:val="24"/>
          <w:szCs w:val="24"/>
        </w:rPr>
        <w:t>,</w:t>
      </w:r>
      <w:r w:rsidR="00DB3128" w:rsidRPr="00E86E0E">
        <w:rPr>
          <w:rFonts w:ascii="Times New Roman" w:hAnsi="Times New Roman"/>
          <w:sz w:val="24"/>
          <w:szCs w:val="24"/>
        </w:rPr>
        <w:t xml:space="preserve"> </w:t>
      </w:r>
      <w:r>
        <w:rPr>
          <w:rFonts w:ascii="Times New Roman" w:hAnsi="Times New Roman"/>
          <w:sz w:val="24"/>
          <w:szCs w:val="24"/>
        </w:rPr>
        <w:t xml:space="preserve">demonstrates </w:t>
      </w:r>
      <w:r w:rsidR="007F350F">
        <w:rPr>
          <w:rFonts w:ascii="Times New Roman" w:hAnsi="Times New Roman"/>
          <w:sz w:val="24"/>
          <w:szCs w:val="24"/>
        </w:rPr>
        <w:t>an overall increase in</w:t>
      </w:r>
      <w:r>
        <w:rPr>
          <w:rFonts w:ascii="Times New Roman" w:hAnsi="Times New Roman"/>
          <w:sz w:val="24"/>
          <w:szCs w:val="24"/>
        </w:rPr>
        <w:t xml:space="preserve"> insecurity associated with </w:t>
      </w:r>
      <w:r w:rsidR="007F350F">
        <w:rPr>
          <w:rFonts w:ascii="Times New Roman" w:hAnsi="Times New Roman"/>
          <w:sz w:val="24"/>
          <w:szCs w:val="24"/>
        </w:rPr>
        <w:t>the economic downturn.</w:t>
      </w:r>
      <w:r w:rsidR="00E86E0E" w:rsidRPr="00E86E0E">
        <w:rPr>
          <w:rFonts w:ascii="Times New Roman" w:hAnsi="Times New Roman"/>
          <w:sz w:val="24"/>
          <w:szCs w:val="24"/>
        </w:rPr>
        <w:t xml:space="preserve"> </w:t>
      </w:r>
      <w:r w:rsidR="00EE1A6A">
        <w:rPr>
          <w:rFonts w:ascii="Times New Roman" w:hAnsi="Times New Roman"/>
          <w:sz w:val="24"/>
          <w:szCs w:val="24"/>
        </w:rPr>
        <w:t>A</w:t>
      </w:r>
      <w:r w:rsidR="00F916E6" w:rsidRPr="00E86E0E">
        <w:rPr>
          <w:rFonts w:ascii="Times New Roman" w:hAnsi="Times New Roman"/>
          <w:sz w:val="24"/>
          <w:szCs w:val="24"/>
        </w:rPr>
        <w:t xml:space="preserve"> n</w:t>
      </w:r>
      <w:r w:rsidR="00791C6B" w:rsidRPr="00E86E0E">
        <w:rPr>
          <w:rFonts w:ascii="Times New Roman" w:hAnsi="Times New Roman"/>
          <w:sz w:val="24"/>
          <w:szCs w:val="24"/>
        </w:rPr>
        <w:t xml:space="preserve">on-negligible share of </w:t>
      </w:r>
      <w:r w:rsidR="00791C6B" w:rsidRPr="00E86E0E">
        <w:rPr>
          <w:rFonts w:ascii="Times New Roman" w:hAnsi="Times New Roman"/>
          <w:sz w:val="24"/>
          <w:szCs w:val="24"/>
        </w:rPr>
        <w:lastRenderedPageBreak/>
        <w:t xml:space="preserve">young adults </w:t>
      </w:r>
      <w:r w:rsidR="007F350F">
        <w:rPr>
          <w:rFonts w:ascii="Times New Roman" w:hAnsi="Times New Roman"/>
          <w:sz w:val="24"/>
          <w:szCs w:val="24"/>
        </w:rPr>
        <w:t xml:space="preserve">in EU countries already </w:t>
      </w:r>
      <w:r w:rsidR="00EE1A6A">
        <w:rPr>
          <w:rFonts w:ascii="Times New Roman" w:hAnsi="Times New Roman"/>
          <w:sz w:val="24"/>
          <w:szCs w:val="24"/>
        </w:rPr>
        <w:t>experience</w:t>
      </w:r>
      <w:r w:rsidR="00F02179">
        <w:rPr>
          <w:rFonts w:ascii="Times New Roman" w:hAnsi="Times New Roman"/>
          <w:sz w:val="24"/>
          <w:szCs w:val="24"/>
        </w:rPr>
        <w:t>d</w:t>
      </w:r>
      <w:r w:rsidR="00EE1A6A">
        <w:rPr>
          <w:rFonts w:ascii="Times New Roman" w:hAnsi="Times New Roman"/>
          <w:sz w:val="24"/>
          <w:szCs w:val="24"/>
        </w:rPr>
        <w:t xml:space="preserve"> </w:t>
      </w:r>
      <w:r w:rsidR="00F916E6" w:rsidRPr="00E86E0E">
        <w:rPr>
          <w:rFonts w:ascii="Times New Roman" w:hAnsi="Times New Roman"/>
          <w:sz w:val="24"/>
          <w:szCs w:val="24"/>
        </w:rPr>
        <w:t xml:space="preserve">insecure </w:t>
      </w:r>
      <w:r w:rsidR="00791C6B" w:rsidRPr="00E86E0E">
        <w:rPr>
          <w:rFonts w:ascii="Times New Roman" w:hAnsi="Times New Roman"/>
          <w:sz w:val="24"/>
          <w:szCs w:val="24"/>
        </w:rPr>
        <w:t xml:space="preserve">trajectories </w:t>
      </w:r>
      <w:r w:rsidR="00F02179">
        <w:rPr>
          <w:rFonts w:ascii="Times New Roman" w:hAnsi="Times New Roman"/>
          <w:sz w:val="24"/>
          <w:szCs w:val="24"/>
        </w:rPr>
        <w:t>before the outbreak of the Great Recession, and</w:t>
      </w:r>
      <w:r w:rsidR="00F916E6" w:rsidRPr="00E86E0E">
        <w:rPr>
          <w:rFonts w:ascii="Times New Roman" w:hAnsi="Times New Roman"/>
          <w:sz w:val="24"/>
          <w:szCs w:val="24"/>
        </w:rPr>
        <w:t xml:space="preserve"> an o</w:t>
      </w:r>
      <w:r w:rsidR="00791C6B" w:rsidRPr="00E86E0E">
        <w:rPr>
          <w:rFonts w:ascii="Times New Roman" w:hAnsi="Times New Roman"/>
          <w:sz w:val="24"/>
          <w:szCs w:val="24"/>
        </w:rPr>
        <w:t xml:space="preserve">verall increase of young adults in </w:t>
      </w:r>
      <w:r w:rsidR="00EE1A6A">
        <w:rPr>
          <w:rFonts w:ascii="Times New Roman" w:hAnsi="Times New Roman"/>
          <w:sz w:val="24"/>
          <w:szCs w:val="24"/>
        </w:rPr>
        <w:t xml:space="preserve">these </w:t>
      </w:r>
      <w:r w:rsidR="007F350F">
        <w:rPr>
          <w:rFonts w:ascii="Times New Roman" w:hAnsi="Times New Roman"/>
          <w:sz w:val="24"/>
          <w:szCs w:val="24"/>
        </w:rPr>
        <w:t xml:space="preserve">insecure </w:t>
      </w:r>
      <w:r w:rsidR="00791C6B" w:rsidRPr="00E86E0E">
        <w:rPr>
          <w:rFonts w:ascii="Times New Roman" w:hAnsi="Times New Roman"/>
          <w:sz w:val="24"/>
          <w:szCs w:val="24"/>
        </w:rPr>
        <w:t xml:space="preserve">trajectories </w:t>
      </w:r>
      <w:r w:rsidR="007F350F">
        <w:rPr>
          <w:rFonts w:ascii="Times New Roman" w:hAnsi="Times New Roman"/>
          <w:sz w:val="24"/>
          <w:szCs w:val="24"/>
        </w:rPr>
        <w:t xml:space="preserve">was observed </w:t>
      </w:r>
      <w:r w:rsidR="00791C6B" w:rsidRPr="00E86E0E">
        <w:rPr>
          <w:rFonts w:ascii="Times New Roman" w:hAnsi="Times New Roman"/>
          <w:sz w:val="24"/>
          <w:szCs w:val="24"/>
        </w:rPr>
        <w:t xml:space="preserve">between 2004-2007 </w:t>
      </w:r>
      <w:r w:rsidR="00EE1A6A">
        <w:rPr>
          <w:rFonts w:ascii="Times New Roman" w:hAnsi="Times New Roman"/>
          <w:sz w:val="24"/>
          <w:szCs w:val="24"/>
        </w:rPr>
        <w:t xml:space="preserve">and </w:t>
      </w:r>
      <w:r w:rsidR="00791C6B" w:rsidRPr="00E86E0E">
        <w:rPr>
          <w:rFonts w:ascii="Times New Roman" w:hAnsi="Times New Roman"/>
          <w:sz w:val="24"/>
          <w:szCs w:val="24"/>
        </w:rPr>
        <w:t xml:space="preserve">2008-2012 </w:t>
      </w:r>
      <w:r w:rsidR="00EE1A6A">
        <w:rPr>
          <w:rFonts w:ascii="Times New Roman" w:hAnsi="Times New Roman"/>
          <w:sz w:val="24"/>
          <w:szCs w:val="24"/>
        </w:rPr>
        <w:t>(18% to 22%).</w:t>
      </w:r>
    </w:p>
    <w:p w14:paraId="7DE74C7C" w14:textId="56574090" w:rsidR="00EE1A6A" w:rsidRDefault="00EE1A6A">
      <w:pPr>
        <w:pStyle w:val="Paragrafoelenco"/>
        <w:spacing w:after="120" w:line="300" w:lineRule="auto"/>
        <w:ind w:left="0"/>
        <w:contextualSpacing w:val="0"/>
        <w:jc w:val="both"/>
        <w:rPr>
          <w:rFonts w:ascii="Times New Roman" w:hAnsi="Times New Roman"/>
          <w:sz w:val="24"/>
          <w:szCs w:val="24"/>
        </w:rPr>
      </w:pPr>
      <w:r>
        <w:rPr>
          <w:rFonts w:ascii="Times New Roman" w:hAnsi="Times New Roman"/>
          <w:sz w:val="24"/>
          <w:szCs w:val="24"/>
        </w:rPr>
        <w:t xml:space="preserve">Our analysis </w:t>
      </w:r>
      <w:r w:rsidR="00F916E6" w:rsidRPr="00E86E0E">
        <w:rPr>
          <w:rFonts w:ascii="Times New Roman" w:hAnsi="Times New Roman"/>
          <w:sz w:val="24"/>
          <w:szCs w:val="24"/>
        </w:rPr>
        <w:t xml:space="preserve">of policy-making </w:t>
      </w:r>
      <w:r>
        <w:rPr>
          <w:rFonts w:ascii="Times New Roman" w:hAnsi="Times New Roman"/>
          <w:sz w:val="24"/>
          <w:szCs w:val="24"/>
        </w:rPr>
        <w:t xml:space="preserve">intensity demonstrates a </w:t>
      </w:r>
      <w:r w:rsidR="00DB3128" w:rsidRPr="00E86E0E">
        <w:rPr>
          <w:rFonts w:ascii="Times New Roman" w:hAnsi="Times New Roman"/>
          <w:sz w:val="24"/>
          <w:szCs w:val="24"/>
        </w:rPr>
        <w:t>significant increase</w:t>
      </w:r>
      <w:r w:rsidR="00791C6B" w:rsidRPr="00E86E0E">
        <w:rPr>
          <w:rFonts w:ascii="Times New Roman" w:hAnsi="Times New Roman"/>
          <w:sz w:val="24"/>
          <w:szCs w:val="24"/>
        </w:rPr>
        <w:t xml:space="preserve"> in policy</w:t>
      </w:r>
      <w:r>
        <w:rPr>
          <w:rFonts w:ascii="Times New Roman" w:hAnsi="Times New Roman"/>
          <w:sz w:val="24"/>
          <w:szCs w:val="24"/>
        </w:rPr>
        <w:t>-</w:t>
      </w:r>
      <w:r w:rsidR="00791C6B" w:rsidRPr="00E86E0E">
        <w:rPr>
          <w:rFonts w:ascii="Times New Roman" w:hAnsi="Times New Roman"/>
          <w:sz w:val="24"/>
          <w:szCs w:val="24"/>
        </w:rPr>
        <w:t xml:space="preserve">making activity over </w:t>
      </w:r>
      <w:r>
        <w:rPr>
          <w:rFonts w:ascii="Times New Roman" w:hAnsi="Times New Roman"/>
          <w:sz w:val="24"/>
          <w:szCs w:val="24"/>
        </w:rPr>
        <w:t>the same period</w:t>
      </w:r>
      <w:r w:rsidR="00E86E0E" w:rsidRPr="00E86E0E">
        <w:rPr>
          <w:rFonts w:ascii="Times New Roman" w:hAnsi="Times New Roman"/>
          <w:sz w:val="24"/>
          <w:szCs w:val="24"/>
        </w:rPr>
        <w:t xml:space="preserve">. </w:t>
      </w:r>
      <w:r>
        <w:rPr>
          <w:rFonts w:ascii="Times New Roman" w:hAnsi="Times New Roman"/>
          <w:sz w:val="24"/>
          <w:szCs w:val="24"/>
        </w:rPr>
        <w:t xml:space="preserve">The exploration of the relationship between labour market conditions </w:t>
      </w:r>
      <w:r w:rsidR="00A956BA">
        <w:rPr>
          <w:rFonts w:ascii="Times New Roman" w:hAnsi="Times New Roman"/>
          <w:sz w:val="24"/>
          <w:szCs w:val="24"/>
        </w:rPr>
        <w:t xml:space="preserve">for young adults </w:t>
      </w:r>
      <w:r>
        <w:rPr>
          <w:rFonts w:ascii="Times New Roman" w:hAnsi="Times New Roman"/>
          <w:sz w:val="24"/>
          <w:szCs w:val="24"/>
        </w:rPr>
        <w:t xml:space="preserve">and policy-making responses is novel. Although we find </w:t>
      </w:r>
      <w:r w:rsidR="00A956BA">
        <w:rPr>
          <w:rFonts w:ascii="Times New Roman" w:hAnsi="Times New Roman"/>
          <w:sz w:val="24"/>
          <w:szCs w:val="24"/>
        </w:rPr>
        <w:t xml:space="preserve">that </w:t>
      </w:r>
      <w:r w:rsidR="00E86E0E" w:rsidRPr="00E86E0E">
        <w:rPr>
          <w:rFonts w:ascii="Times New Roman" w:hAnsi="Times New Roman"/>
          <w:sz w:val="24"/>
          <w:szCs w:val="24"/>
        </w:rPr>
        <w:t>h</w:t>
      </w:r>
      <w:r w:rsidR="00791C6B" w:rsidRPr="00E86E0E">
        <w:rPr>
          <w:rFonts w:ascii="Times New Roman" w:hAnsi="Times New Roman"/>
          <w:sz w:val="24"/>
          <w:szCs w:val="24"/>
        </w:rPr>
        <w:t xml:space="preserve">igher shares of </w:t>
      </w:r>
      <w:r w:rsidR="00F916E6" w:rsidRPr="00E86E0E">
        <w:rPr>
          <w:rFonts w:ascii="Times New Roman" w:hAnsi="Times New Roman"/>
          <w:sz w:val="24"/>
          <w:szCs w:val="24"/>
        </w:rPr>
        <w:t xml:space="preserve">insecure </w:t>
      </w:r>
      <w:r w:rsidR="00791C6B" w:rsidRPr="00E86E0E">
        <w:rPr>
          <w:rFonts w:ascii="Times New Roman" w:hAnsi="Times New Roman"/>
          <w:sz w:val="24"/>
          <w:szCs w:val="24"/>
        </w:rPr>
        <w:t>trajectories seem to be positively correlated with higher intensity in policy making</w:t>
      </w:r>
      <w:r w:rsidR="00A956BA">
        <w:rPr>
          <w:rFonts w:ascii="Times New Roman" w:hAnsi="Times New Roman"/>
          <w:sz w:val="24"/>
          <w:szCs w:val="24"/>
        </w:rPr>
        <w:t>,</w:t>
      </w:r>
      <w:r>
        <w:rPr>
          <w:rFonts w:ascii="Times New Roman" w:hAnsi="Times New Roman"/>
          <w:sz w:val="24"/>
          <w:szCs w:val="24"/>
        </w:rPr>
        <w:t xml:space="preserve"> there are clearly other factors shaping policy responses</w:t>
      </w:r>
      <w:r w:rsidR="00833B4C">
        <w:rPr>
          <w:rFonts w:ascii="Times New Roman" w:hAnsi="Times New Roman"/>
          <w:sz w:val="24"/>
          <w:szCs w:val="24"/>
        </w:rPr>
        <w:t xml:space="preserve"> at the national level</w:t>
      </w:r>
      <w:r w:rsidR="00E86E0E" w:rsidRPr="00E86E0E">
        <w:rPr>
          <w:rFonts w:ascii="Times New Roman" w:hAnsi="Times New Roman"/>
          <w:sz w:val="24"/>
          <w:szCs w:val="24"/>
        </w:rPr>
        <w:t xml:space="preserve">. </w:t>
      </w:r>
      <w:r>
        <w:rPr>
          <w:rFonts w:ascii="Times New Roman" w:hAnsi="Times New Roman"/>
          <w:sz w:val="24"/>
          <w:szCs w:val="24"/>
        </w:rPr>
        <w:t>Indeed</w:t>
      </w:r>
      <w:r w:rsidR="007F350F">
        <w:rPr>
          <w:rFonts w:ascii="Times New Roman" w:hAnsi="Times New Roman"/>
          <w:sz w:val="24"/>
          <w:szCs w:val="24"/>
        </w:rPr>
        <w:t>,</w:t>
      </w:r>
      <w:r>
        <w:rPr>
          <w:rFonts w:ascii="Times New Roman" w:hAnsi="Times New Roman"/>
          <w:sz w:val="24"/>
          <w:szCs w:val="24"/>
        </w:rPr>
        <w:t xml:space="preserve"> </w:t>
      </w:r>
      <w:r w:rsidRPr="00E86E0E">
        <w:rPr>
          <w:rFonts w:ascii="Times New Roman" w:hAnsi="Times New Roman"/>
          <w:sz w:val="24"/>
          <w:szCs w:val="24"/>
        </w:rPr>
        <w:t xml:space="preserve">the majority of European countries intensified </w:t>
      </w:r>
      <w:r>
        <w:rPr>
          <w:rFonts w:ascii="Times New Roman" w:hAnsi="Times New Roman"/>
          <w:sz w:val="24"/>
          <w:szCs w:val="24"/>
        </w:rPr>
        <w:t xml:space="preserve">their </w:t>
      </w:r>
      <w:r w:rsidRPr="00E86E0E">
        <w:rPr>
          <w:rFonts w:ascii="Times New Roman" w:hAnsi="Times New Roman"/>
          <w:sz w:val="24"/>
          <w:szCs w:val="24"/>
        </w:rPr>
        <w:t xml:space="preserve">labour market reforms </w:t>
      </w:r>
      <w:r>
        <w:rPr>
          <w:rFonts w:ascii="Times New Roman" w:hAnsi="Times New Roman"/>
          <w:sz w:val="24"/>
          <w:szCs w:val="24"/>
        </w:rPr>
        <w:t xml:space="preserve">at </w:t>
      </w:r>
      <w:r w:rsidRPr="00E86E0E">
        <w:rPr>
          <w:rFonts w:ascii="Times New Roman" w:hAnsi="Times New Roman"/>
          <w:sz w:val="24"/>
          <w:szCs w:val="24"/>
        </w:rPr>
        <w:t>the outbreak of the Great Recession</w:t>
      </w:r>
      <w:r>
        <w:rPr>
          <w:rFonts w:ascii="Times New Roman" w:hAnsi="Times New Roman"/>
          <w:sz w:val="24"/>
          <w:szCs w:val="24"/>
        </w:rPr>
        <w:t xml:space="preserve">. The most active </w:t>
      </w:r>
      <w:r w:rsidR="00A956BA">
        <w:rPr>
          <w:rFonts w:ascii="Times New Roman" w:hAnsi="Times New Roman"/>
          <w:sz w:val="24"/>
          <w:szCs w:val="24"/>
        </w:rPr>
        <w:t xml:space="preserve">countries </w:t>
      </w:r>
      <w:r>
        <w:rPr>
          <w:rFonts w:ascii="Times New Roman" w:hAnsi="Times New Roman"/>
          <w:sz w:val="24"/>
          <w:szCs w:val="24"/>
        </w:rPr>
        <w:t xml:space="preserve">included </w:t>
      </w:r>
      <w:r w:rsidR="003117F1">
        <w:rPr>
          <w:rFonts w:ascii="Times New Roman" w:hAnsi="Times New Roman"/>
          <w:sz w:val="24"/>
          <w:szCs w:val="24"/>
        </w:rPr>
        <w:t xml:space="preserve">both </w:t>
      </w:r>
      <w:r>
        <w:rPr>
          <w:rFonts w:ascii="Times New Roman" w:hAnsi="Times New Roman"/>
          <w:sz w:val="24"/>
          <w:szCs w:val="24"/>
        </w:rPr>
        <w:t xml:space="preserve">those with </w:t>
      </w:r>
      <w:r w:rsidR="003117F1">
        <w:rPr>
          <w:rFonts w:ascii="Times New Roman" w:hAnsi="Times New Roman"/>
          <w:sz w:val="24"/>
          <w:szCs w:val="24"/>
        </w:rPr>
        <w:t>relatively stable</w:t>
      </w:r>
      <w:r>
        <w:rPr>
          <w:rFonts w:ascii="Times New Roman" w:hAnsi="Times New Roman"/>
          <w:sz w:val="24"/>
          <w:szCs w:val="24"/>
        </w:rPr>
        <w:t xml:space="preserve"> problems on the youth labour market </w:t>
      </w:r>
      <w:r w:rsidR="00A956BA">
        <w:rPr>
          <w:rFonts w:ascii="Times New Roman" w:hAnsi="Times New Roman"/>
          <w:sz w:val="24"/>
          <w:szCs w:val="24"/>
        </w:rPr>
        <w:t>(</w:t>
      </w:r>
      <w:r>
        <w:rPr>
          <w:rFonts w:ascii="Times New Roman" w:hAnsi="Times New Roman"/>
          <w:sz w:val="24"/>
          <w:szCs w:val="24"/>
        </w:rPr>
        <w:t>measure</w:t>
      </w:r>
      <w:r w:rsidR="00A956BA">
        <w:rPr>
          <w:rFonts w:ascii="Times New Roman" w:hAnsi="Times New Roman"/>
          <w:sz w:val="24"/>
          <w:szCs w:val="24"/>
        </w:rPr>
        <w:t>d</w:t>
      </w:r>
      <w:r>
        <w:rPr>
          <w:rFonts w:ascii="Times New Roman" w:hAnsi="Times New Roman"/>
          <w:sz w:val="24"/>
          <w:szCs w:val="24"/>
        </w:rPr>
        <w:t xml:space="preserve"> by the share of </w:t>
      </w:r>
      <w:r w:rsidR="00A956BA">
        <w:rPr>
          <w:rFonts w:ascii="Times New Roman" w:hAnsi="Times New Roman"/>
          <w:sz w:val="24"/>
          <w:szCs w:val="24"/>
        </w:rPr>
        <w:t xml:space="preserve">young adults with </w:t>
      </w:r>
      <w:r>
        <w:rPr>
          <w:rFonts w:ascii="Times New Roman" w:hAnsi="Times New Roman"/>
          <w:sz w:val="24"/>
          <w:szCs w:val="24"/>
        </w:rPr>
        <w:t>insecure trajectories</w:t>
      </w:r>
      <w:r w:rsidR="00A956BA">
        <w:rPr>
          <w:rFonts w:ascii="Times New Roman" w:hAnsi="Times New Roman"/>
          <w:sz w:val="24"/>
          <w:szCs w:val="24"/>
        </w:rPr>
        <w:t>)</w:t>
      </w:r>
      <w:r>
        <w:rPr>
          <w:rFonts w:ascii="Times New Roman" w:hAnsi="Times New Roman"/>
          <w:sz w:val="24"/>
          <w:szCs w:val="24"/>
        </w:rPr>
        <w:t xml:space="preserve"> as well as those with </w:t>
      </w:r>
      <w:r w:rsidR="003117F1">
        <w:rPr>
          <w:rFonts w:ascii="Times New Roman" w:hAnsi="Times New Roman"/>
          <w:sz w:val="24"/>
          <w:szCs w:val="24"/>
        </w:rPr>
        <w:t>worsening</w:t>
      </w:r>
      <w:r>
        <w:rPr>
          <w:rFonts w:ascii="Times New Roman" w:hAnsi="Times New Roman"/>
          <w:sz w:val="24"/>
          <w:szCs w:val="24"/>
        </w:rPr>
        <w:t xml:space="preserve"> youth labour market performance</w:t>
      </w:r>
      <w:r w:rsidR="003117F1">
        <w:rPr>
          <w:rFonts w:ascii="Times New Roman" w:hAnsi="Times New Roman"/>
          <w:sz w:val="24"/>
          <w:szCs w:val="24"/>
        </w:rPr>
        <w:t xml:space="preserve"> (</w:t>
      </w:r>
      <w:r>
        <w:rPr>
          <w:rFonts w:ascii="Times New Roman" w:hAnsi="Times New Roman"/>
          <w:sz w:val="24"/>
          <w:szCs w:val="24"/>
        </w:rPr>
        <w:t>particularly the</w:t>
      </w:r>
      <w:r w:rsidRPr="00E86E0E">
        <w:rPr>
          <w:rFonts w:ascii="Times New Roman" w:hAnsi="Times New Roman"/>
          <w:sz w:val="24"/>
          <w:szCs w:val="24"/>
        </w:rPr>
        <w:t xml:space="preserve"> Mediterranean and CEE countries</w:t>
      </w:r>
      <w:r w:rsidR="003117F1">
        <w:rPr>
          <w:rFonts w:ascii="Times New Roman" w:hAnsi="Times New Roman"/>
          <w:sz w:val="24"/>
          <w:szCs w:val="24"/>
        </w:rPr>
        <w:t>)</w:t>
      </w:r>
      <w:r>
        <w:rPr>
          <w:rFonts w:ascii="Times New Roman" w:hAnsi="Times New Roman"/>
          <w:sz w:val="24"/>
          <w:szCs w:val="24"/>
        </w:rPr>
        <w:t>.</w:t>
      </w:r>
    </w:p>
    <w:p w14:paraId="6C54B4AB" w14:textId="18FA3BE0" w:rsidR="00682897" w:rsidRDefault="00682897">
      <w:pPr>
        <w:pStyle w:val="Paragrafoelenco"/>
        <w:spacing w:after="120" w:line="300" w:lineRule="auto"/>
        <w:ind w:left="0"/>
        <w:contextualSpacing w:val="0"/>
        <w:jc w:val="both"/>
        <w:rPr>
          <w:rFonts w:ascii="Times New Roman" w:hAnsi="Times New Roman"/>
          <w:sz w:val="24"/>
          <w:szCs w:val="24"/>
        </w:rPr>
      </w:pPr>
    </w:p>
    <w:p w14:paraId="78B87230" w14:textId="3D06BA98" w:rsidR="00203777" w:rsidRPr="006E2D65" w:rsidRDefault="006E2D65" w:rsidP="0038757F">
      <w:pPr>
        <w:spacing w:after="120" w:line="300" w:lineRule="auto"/>
        <w:jc w:val="both"/>
        <w:rPr>
          <w:rFonts w:ascii="Times New Roman" w:hAnsi="Times New Roman"/>
          <w:b/>
          <w:sz w:val="24"/>
          <w:szCs w:val="24"/>
          <w:lang w:val="it-IT"/>
        </w:rPr>
      </w:pPr>
      <w:r w:rsidRPr="006E2D65">
        <w:rPr>
          <w:rFonts w:ascii="Times New Roman" w:hAnsi="Times New Roman"/>
          <w:b/>
          <w:sz w:val="24"/>
          <w:szCs w:val="24"/>
          <w:lang w:val="it-IT"/>
        </w:rPr>
        <w:t>INSERIRE QUI LA TABELLA IN APPENDICE (VEDASI FILE EXCEL</w:t>
      </w:r>
      <w:r w:rsidR="00017018">
        <w:rPr>
          <w:rFonts w:ascii="Times New Roman" w:hAnsi="Times New Roman"/>
          <w:b/>
          <w:sz w:val="24"/>
          <w:szCs w:val="24"/>
          <w:lang w:val="it-IT"/>
        </w:rPr>
        <w:t xml:space="preserve"> E QUI DI SEGUITO</w:t>
      </w:r>
      <w:r w:rsidRPr="006E2D65">
        <w:rPr>
          <w:rFonts w:ascii="Times New Roman" w:hAnsi="Times New Roman"/>
          <w:b/>
          <w:sz w:val="24"/>
          <w:szCs w:val="24"/>
          <w:lang w:val="it-IT"/>
        </w:rPr>
        <w:t>)</w:t>
      </w:r>
    </w:p>
    <w:p w14:paraId="5D1E2EC3" w14:textId="77777777" w:rsidR="006E2D65" w:rsidRPr="006E2D65" w:rsidRDefault="006E2D65" w:rsidP="0038757F">
      <w:pPr>
        <w:spacing w:after="120" w:line="300" w:lineRule="auto"/>
        <w:jc w:val="both"/>
        <w:rPr>
          <w:rFonts w:ascii="Times New Roman" w:hAnsi="Times New Roman"/>
          <w:b/>
          <w:sz w:val="24"/>
          <w:szCs w:val="24"/>
          <w:lang w:val="it-IT"/>
        </w:rPr>
      </w:pPr>
    </w:p>
    <w:p w14:paraId="45C8A3AE" w14:textId="13EAAF20" w:rsidR="008975E4" w:rsidRPr="00017018" w:rsidRDefault="008975E4">
      <w:pPr>
        <w:jc w:val="left"/>
        <w:rPr>
          <w:rFonts w:ascii="Times New Roman" w:hAnsi="Times New Roman"/>
          <w:lang w:val="it-IT"/>
        </w:rPr>
      </w:pPr>
      <w:r w:rsidRPr="00017018">
        <w:rPr>
          <w:rFonts w:ascii="Times New Roman" w:hAnsi="Times New Roman"/>
          <w:lang w:val="it-IT"/>
        </w:rPr>
        <w:br w:type="page"/>
      </w:r>
    </w:p>
    <w:p w14:paraId="2D4D0D62" w14:textId="77777777" w:rsidR="006807D0" w:rsidRPr="00017018" w:rsidRDefault="006807D0" w:rsidP="00752068">
      <w:pPr>
        <w:spacing w:after="120"/>
        <w:jc w:val="left"/>
        <w:rPr>
          <w:rFonts w:ascii="Times New Roman" w:hAnsi="Times New Roman"/>
          <w:lang w:val="it-IT"/>
        </w:rPr>
        <w:sectPr w:rsidR="006807D0" w:rsidRPr="00017018" w:rsidSect="00F21BA0">
          <w:headerReference w:type="default" r:id="rId10"/>
          <w:footerReference w:type="default" r:id="rId11"/>
          <w:pgSz w:w="11906" w:h="16838"/>
          <w:pgMar w:top="1361" w:right="1418" w:bottom="1361" w:left="1418" w:header="709" w:footer="709" w:gutter="0"/>
          <w:cols w:space="708"/>
          <w:docGrid w:linePitch="360"/>
        </w:sectPr>
      </w:pPr>
    </w:p>
    <w:p w14:paraId="7284EB27" w14:textId="77777777" w:rsidR="008975E4" w:rsidRDefault="004337E6" w:rsidP="004337E6">
      <w:pPr>
        <w:spacing w:after="120"/>
        <w:jc w:val="left"/>
        <w:rPr>
          <w:b/>
        </w:rPr>
      </w:pPr>
      <w:r>
        <w:rPr>
          <w:b/>
        </w:rPr>
        <w:lastRenderedPageBreak/>
        <w:t xml:space="preserve">APPENDIX </w:t>
      </w:r>
    </w:p>
    <w:p w14:paraId="1B4FA6BF" w14:textId="77777777" w:rsidR="008975E4" w:rsidRDefault="008975E4">
      <w:pPr>
        <w:jc w:val="left"/>
        <w:rPr>
          <w:b/>
        </w:rPr>
      </w:pPr>
      <w:r>
        <w:rPr>
          <w:b/>
        </w:rPr>
        <w:br w:type="page"/>
      </w:r>
    </w:p>
    <w:p w14:paraId="63F282F6" w14:textId="703E2649" w:rsidR="004337E6" w:rsidRPr="008975E4" w:rsidRDefault="006807D0" w:rsidP="004337E6">
      <w:pPr>
        <w:spacing w:after="120"/>
        <w:jc w:val="left"/>
        <w:rPr>
          <w:b/>
        </w:rPr>
      </w:pPr>
      <w:r>
        <w:lastRenderedPageBreak/>
        <w:t>Table A1 The incidence of the various trajectory types among young people by country before the crisis (2004-2008) and during the crisis (2008-2012) (%)</w:t>
      </w:r>
    </w:p>
    <w:tbl>
      <w:tblPr>
        <w:tblpPr w:leftFromText="180" w:rightFromText="180" w:horzAnchor="margin" w:tblpX="-743" w:tblpY="960"/>
        <w:tblW w:w="15285" w:type="dxa"/>
        <w:tblLayout w:type="fixed"/>
        <w:tblLook w:val="04A0" w:firstRow="1" w:lastRow="0" w:firstColumn="1" w:lastColumn="0" w:noHBand="0" w:noVBand="1"/>
      </w:tblPr>
      <w:tblGrid>
        <w:gridCol w:w="1452"/>
        <w:gridCol w:w="425"/>
        <w:gridCol w:w="838"/>
        <w:gridCol w:w="154"/>
        <w:gridCol w:w="684"/>
        <w:gridCol w:w="308"/>
        <w:gridCol w:w="530"/>
        <w:gridCol w:w="321"/>
        <w:gridCol w:w="517"/>
        <w:gridCol w:w="192"/>
        <w:gridCol w:w="646"/>
        <w:gridCol w:w="171"/>
        <w:gridCol w:w="659"/>
        <w:gridCol w:w="8"/>
        <w:gridCol w:w="925"/>
        <w:gridCol w:w="709"/>
        <w:gridCol w:w="880"/>
        <w:gridCol w:w="109"/>
        <w:gridCol w:w="729"/>
        <w:gridCol w:w="165"/>
        <w:gridCol w:w="673"/>
        <w:gridCol w:w="17"/>
        <w:gridCol w:w="821"/>
        <w:gridCol w:w="153"/>
        <w:gridCol w:w="685"/>
        <w:gridCol w:w="209"/>
        <w:gridCol w:w="629"/>
        <w:gridCol w:w="30"/>
        <w:gridCol w:w="854"/>
        <w:gridCol w:w="792"/>
      </w:tblGrid>
      <w:tr w:rsidR="004337E6" w:rsidRPr="002812B0" w14:paraId="3AA1A176" w14:textId="77777777" w:rsidTr="008975E4">
        <w:trPr>
          <w:trHeight w:val="139"/>
        </w:trPr>
        <w:tc>
          <w:tcPr>
            <w:tcW w:w="1452" w:type="dxa"/>
            <w:tcBorders>
              <w:top w:val="nil"/>
              <w:left w:val="nil"/>
              <w:bottom w:val="nil"/>
              <w:right w:val="nil"/>
            </w:tcBorders>
            <w:shd w:val="clear" w:color="auto" w:fill="auto"/>
            <w:noWrap/>
            <w:vAlign w:val="bottom"/>
            <w:hideMark/>
          </w:tcPr>
          <w:p w14:paraId="7DD96EA0" w14:textId="77777777" w:rsidR="004337E6" w:rsidRPr="002812B0" w:rsidRDefault="004337E6" w:rsidP="008975E4">
            <w:pPr>
              <w:rPr>
                <w:rFonts w:cstheme="minorHAnsi"/>
                <w:sz w:val="18"/>
                <w:szCs w:val="18"/>
              </w:rPr>
            </w:pPr>
          </w:p>
        </w:tc>
        <w:tc>
          <w:tcPr>
            <w:tcW w:w="425" w:type="dxa"/>
            <w:tcBorders>
              <w:top w:val="nil"/>
              <w:left w:val="nil"/>
              <w:bottom w:val="nil"/>
              <w:right w:val="nil"/>
            </w:tcBorders>
            <w:shd w:val="clear" w:color="auto" w:fill="auto"/>
            <w:noWrap/>
            <w:vAlign w:val="bottom"/>
            <w:hideMark/>
          </w:tcPr>
          <w:p w14:paraId="1975E611" w14:textId="77777777" w:rsidR="004337E6" w:rsidRPr="002812B0" w:rsidRDefault="004337E6" w:rsidP="008975E4">
            <w:pPr>
              <w:ind w:right="-111"/>
              <w:jc w:val="left"/>
              <w:rPr>
                <w:rFonts w:cstheme="minorHAnsi"/>
                <w:sz w:val="18"/>
                <w:szCs w:val="18"/>
              </w:rPr>
            </w:pPr>
          </w:p>
        </w:tc>
        <w:tc>
          <w:tcPr>
            <w:tcW w:w="6662" w:type="dxa"/>
            <w:gridSpan w:val="14"/>
            <w:tcBorders>
              <w:top w:val="single" w:sz="4" w:space="0" w:color="auto"/>
              <w:left w:val="single" w:sz="4" w:space="0" w:color="auto"/>
              <w:bottom w:val="nil"/>
              <w:right w:val="single" w:sz="4" w:space="0" w:color="000000"/>
            </w:tcBorders>
            <w:shd w:val="clear" w:color="auto" w:fill="auto"/>
            <w:vAlign w:val="bottom"/>
            <w:hideMark/>
          </w:tcPr>
          <w:p w14:paraId="5B07C9E7" w14:textId="77777777" w:rsidR="004337E6" w:rsidRPr="002812B0" w:rsidRDefault="004337E6" w:rsidP="008975E4">
            <w:pPr>
              <w:rPr>
                <w:rFonts w:cstheme="minorHAnsi"/>
                <w:b/>
                <w:bCs/>
                <w:sz w:val="18"/>
                <w:szCs w:val="18"/>
              </w:rPr>
            </w:pPr>
            <w:r w:rsidRPr="002812B0">
              <w:rPr>
                <w:rFonts w:cstheme="minorHAnsi"/>
                <w:b/>
                <w:bCs/>
                <w:sz w:val="18"/>
                <w:szCs w:val="18"/>
              </w:rPr>
              <w:t>Before the Crisis (2004-2008)</w:t>
            </w:r>
          </w:p>
        </w:tc>
        <w:tc>
          <w:tcPr>
            <w:tcW w:w="6746" w:type="dxa"/>
            <w:gridSpan w:val="14"/>
            <w:tcBorders>
              <w:top w:val="single" w:sz="4" w:space="0" w:color="auto"/>
              <w:left w:val="nil"/>
              <w:bottom w:val="nil"/>
              <w:right w:val="single" w:sz="4" w:space="0" w:color="000000"/>
            </w:tcBorders>
            <w:shd w:val="clear" w:color="auto" w:fill="auto"/>
            <w:vAlign w:val="center"/>
            <w:hideMark/>
          </w:tcPr>
          <w:p w14:paraId="54D997CE" w14:textId="77777777" w:rsidR="004337E6" w:rsidRPr="002812B0" w:rsidRDefault="004337E6" w:rsidP="008975E4">
            <w:pPr>
              <w:rPr>
                <w:rFonts w:cstheme="minorHAnsi"/>
                <w:b/>
                <w:bCs/>
                <w:sz w:val="18"/>
                <w:szCs w:val="18"/>
              </w:rPr>
            </w:pPr>
            <w:r w:rsidRPr="002812B0">
              <w:rPr>
                <w:rFonts w:cstheme="minorHAnsi"/>
                <w:b/>
                <w:bCs/>
                <w:sz w:val="18"/>
                <w:szCs w:val="18"/>
              </w:rPr>
              <w:t>During the Crisis (2008-2012)</w:t>
            </w:r>
          </w:p>
        </w:tc>
      </w:tr>
      <w:tr w:rsidR="004337E6" w:rsidRPr="002812B0" w14:paraId="2BE69453" w14:textId="77777777" w:rsidTr="008975E4">
        <w:trPr>
          <w:trHeight w:hRule="exact" w:val="595"/>
        </w:trPr>
        <w:tc>
          <w:tcPr>
            <w:tcW w:w="1452" w:type="dxa"/>
            <w:tcBorders>
              <w:top w:val="single" w:sz="4" w:space="0" w:color="auto"/>
              <w:left w:val="single" w:sz="4" w:space="0" w:color="auto"/>
              <w:bottom w:val="single" w:sz="4" w:space="0" w:color="auto"/>
              <w:right w:val="nil"/>
            </w:tcBorders>
            <w:shd w:val="clear" w:color="auto" w:fill="auto"/>
            <w:noWrap/>
            <w:vAlign w:val="center"/>
            <w:hideMark/>
          </w:tcPr>
          <w:p w14:paraId="65BC0DB9" w14:textId="77777777" w:rsidR="004337E6" w:rsidRPr="002812B0" w:rsidRDefault="004337E6" w:rsidP="008975E4">
            <w:pPr>
              <w:rPr>
                <w:rFonts w:cstheme="minorHAnsi"/>
                <w:b/>
                <w:bCs/>
                <w:sz w:val="16"/>
                <w:szCs w:val="16"/>
              </w:rPr>
            </w:pPr>
            <w:r w:rsidRPr="002812B0">
              <w:rPr>
                <w:rFonts w:cstheme="minorHAnsi"/>
                <w:b/>
                <w:bCs/>
                <w:sz w:val="16"/>
                <w:szCs w:val="16"/>
              </w:rPr>
              <w:t>Country</w:t>
            </w:r>
          </w:p>
        </w:tc>
        <w:tc>
          <w:tcPr>
            <w:tcW w:w="425" w:type="dxa"/>
            <w:tcBorders>
              <w:top w:val="single" w:sz="4" w:space="0" w:color="auto"/>
              <w:left w:val="single" w:sz="4" w:space="0" w:color="auto"/>
              <w:bottom w:val="single" w:sz="4" w:space="0" w:color="auto"/>
              <w:right w:val="nil"/>
            </w:tcBorders>
            <w:shd w:val="clear" w:color="auto" w:fill="auto"/>
            <w:vAlign w:val="center"/>
            <w:hideMark/>
          </w:tcPr>
          <w:p w14:paraId="7A675496" w14:textId="77777777" w:rsidR="004337E6" w:rsidRPr="002812B0" w:rsidRDefault="004337E6" w:rsidP="008975E4">
            <w:pPr>
              <w:ind w:right="-111"/>
              <w:jc w:val="left"/>
              <w:rPr>
                <w:rFonts w:cstheme="minorHAnsi"/>
                <w:sz w:val="16"/>
                <w:szCs w:val="16"/>
              </w:rPr>
            </w:pPr>
          </w:p>
          <w:p w14:paraId="6924EB49" w14:textId="77777777" w:rsidR="004337E6" w:rsidRPr="002812B0" w:rsidRDefault="004337E6" w:rsidP="008975E4">
            <w:pPr>
              <w:ind w:right="-111"/>
              <w:jc w:val="left"/>
              <w:rPr>
                <w:rFonts w:cstheme="minorHAnsi"/>
                <w:sz w:val="16"/>
                <w:szCs w:val="16"/>
              </w:rPr>
            </w:pPr>
          </w:p>
        </w:tc>
        <w:tc>
          <w:tcPr>
            <w:tcW w:w="838" w:type="dxa"/>
            <w:tcBorders>
              <w:top w:val="single" w:sz="4" w:space="0" w:color="auto"/>
              <w:left w:val="single" w:sz="4" w:space="0" w:color="auto"/>
              <w:bottom w:val="single" w:sz="4" w:space="0" w:color="auto"/>
              <w:right w:val="nil"/>
            </w:tcBorders>
            <w:shd w:val="clear" w:color="auto" w:fill="auto"/>
            <w:vAlign w:val="center"/>
            <w:hideMark/>
          </w:tcPr>
          <w:p w14:paraId="486345D5" w14:textId="77777777" w:rsidR="004337E6" w:rsidRPr="002812B0" w:rsidRDefault="004337E6" w:rsidP="008975E4">
            <w:pPr>
              <w:rPr>
                <w:rFonts w:cstheme="minorHAnsi"/>
                <w:sz w:val="16"/>
                <w:szCs w:val="16"/>
              </w:rPr>
            </w:pPr>
            <w:r w:rsidRPr="002812B0">
              <w:rPr>
                <w:rFonts w:cstheme="minorHAnsi"/>
                <w:sz w:val="16"/>
                <w:szCs w:val="16"/>
              </w:rPr>
              <w:t>Emp</w:t>
            </w:r>
            <w:r>
              <w:rPr>
                <w:rFonts w:cstheme="minorHAnsi"/>
                <w:sz w:val="16"/>
                <w:szCs w:val="16"/>
              </w:rPr>
              <w:t>loym</w:t>
            </w:r>
            <w:r w:rsidRPr="002812B0">
              <w:rPr>
                <w:rFonts w:cstheme="minorHAnsi"/>
                <w:sz w:val="16"/>
                <w:szCs w:val="16"/>
              </w:rPr>
              <w:t xml:space="preserve"> secure</w:t>
            </w:r>
          </w:p>
        </w:tc>
        <w:tc>
          <w:tcPr>
            <w:tcW w:w="838" w:type="dxa"/>
            <w:gridSpan w:val="2"/>
            <w:tcBorders>
              <w:top w:val="single" w:sz="4" w:space="0" w:color="auto"/>
              <w:left w:val="nil"/>
              <w:bottom w:val="single" w:sz="4" w:space="0" w:color="auto"/>
              <w:right w:val="nil"/>
            </w:tcBorders>
            <w:shd w:val="clear" w:color="auto" w:fill="auto"/>
            <w:vAlign w:val="center"/>
            <w:hideMark/>
          </w:tcPr>
          <w:p w14:paraId="237ACEF4" w14:textId="77777777" w:rsidR="004337E6" w:rsidRPr="002812B0" w:rsidRDefault="004337E6" w:rsidP="008975E4">
            <w:pPr>
              <w:rPr>
                <w:rFonts w:cstheme="minorHAnsi"/>
                <w:sz w:val="16"/>
                <w:szCs w:val="16"/>
              </w:rPr>
            </w:pPr>
            <w:r w:rsidRPr="002812B0">
              <w:rPr>
                <w:rFonts w:cstheme="minorHAnsi"/>
                <w:sz w:val="16"/>
                <w:szCs w:val="16"/>
              </w:rPr>
              <w:t>Prev. Emp</w:t>
            </w:r>
            <w:r>
              <w:rPr>
                <w:rFonts w:cstheme="minorHAnsi"/>
                <w:sz w:val="16"/>
                <w:szCs w:val="16"/>
              </w:rPr>
              <w:t>l.</w:t>
            </w:r>
          </w:p>
        </w:tc>
        <w:tc>
          <w:tcPr>
            <w:tcW w:w="838" w:type="dxa"/>
            <w:gridSpan w:val="2"/>
            <w:tcBorders>
              <w:top w:val="single" w:sz="4" w:space="0" w:color="auto"/>
              <w:left w:val="nil"/>
              <w:bottom w:val="single" w:sz="4" w:space="0" w:color="auto"/>
              <w:right w:val="nil"/>
            </w:tcBorders>
            <w:shd w:val="clear" w:color="auto" w:fill="auto"/>
            <w:vAlign w:val="center"/>
            <w:hideMark/>
          </w:tcPr>
          <w:p w14:paraId="39622090" w14:textId="77777777" w:rsidR="004337E6" w:rsidRPr="002812B0" w:rsidRDefault="004337E6" w:rsidP="008975E4">
            <w:pPr>
              <w:rPr>
                <w:rFonts w:cstheme="minorHAnsi"/>
                <w:b/>
                <w:bCs/>
                <w:sz w:val="16"/>
                <w:szCs w:val="16"/>
              </w:rPr>
            </w:pPr>
            <w:r w:rsidRPr="002812B0">
              <w:rPr>
                <w:rFonts w:cstheme="minorHAnsi"/>
                <w:b/>
                <w:bCs/>
                <w:sz w:val="16"/>
                <w:szCs w:val="16"/>
              </w:rPr>
              <w:t>SECURE</w:t>
            </w:r>
          </w:p>
        </w:tc>
        <w:tc>
          <w:tcPr>
            <w:tcW w:w="838" w:type="dxa"/>
            <w:gridSpan w:val="2"/>
            <w:tcBorders>
              <w:top w:val="single" w:sz="4" w:space="0" w:color="auto"/>
              <w:left w:val="nil"/>
              <w:bottom w:val="single" w:sz="4" w:space="0" w:color="auto"/>
              <w:right w:val="nil"/>
            </w:tcBorders>
            <w:shd w:val="clear" w:color="auto" w:fill="auto"/>
            <w:vAlign w:val="center"/>
            <w:hideMark/>
          </w:tcPr>
          <w:p w14:paraId="0487F774" w14:textId="77777777" w:rsidR="004337E6" w:rsidRPr="002812B0" w:rsidRDefault="004337E6" w:rsidP="008975E4">
            <w:pPr>
              <w:rPr>
                <w:rFonts w:cstheme="minorHAnsi"/>
                <w:sz w:val="16"/>
                <w:szCs w:val="16"/>
              </w:rPr>
            </w:pPr>
            <w:r w:rsidRPr="002812B0">
              <w:rPr>
                <w:rFonts w:cstheme="minorHAnsi"/>
                <w:sz w:val="16"/>
                <w:szCs w:val="16"/>
              </w:rPr>
              <w:t>Prev. Unemp</w:t>
            </w:r>
            <w:r>
              <w:rPr>
                <w:rFonts w:cstheme="minorHAnsi"/>
                <w:sz w:val="16"/>
                <w:szCs w:val="16"/>
              </w:rPr>
              <w:t>l.</w:t>
            </w:r>
          </w:p>
        </w:tc>
        <w:tc>
          <w:tcPr>
            <w:tcW w:w="838" w:type="dxa"/>
            <w:gridSpan w:val="2"/>
            <w:tcBorders>
              <w:top w:val="single" w:sz="4" w:space="0" w:color="auto"/>
              <w:left w:val="nil"/>
              <w:bottom w:val="single" w:sz="4" w:space="0" w:color="auto"/>
              <w:right w:val="nil"/>
            </w:tcBorders>
            <w:shd w:val="clear" w:color="auto" w:fill="auto"/>
            <w:vAlign w:val="center"/>
            <w:hideMark/>
          </w:tcPr>
          <w:p w14:paraId="6F2CC706" w14:textId="77777777" w:rsidR="004337E6" w:rsidRPr="002812B0" w:rsidRDefault="004337E6" w:rsidP="008975E4">
            <w:pPr>
              <w:rPr>
                <w:rFonts w:cstheme="minorHAnsi"/>
                <w:sz w:val="16"/>
                <w:szCs w:val="16"/>
              </w:rPr>
            </w:pPr>
            <w:r w:rsidRPr="002812B0">
              <w:rPr>
                <w:rFonts w:cstheme="minorHAnsi"/>
                <w:sz w:val="16"/>
                <w:szCs w:val="16"/>
              </w:rPr>
              <w:t>Prev. Inactive</w:t>
            </w:r>
          </w:p>
        </w:tc>
        <w:tc>
          <w:tcPr>
            <w:tcW w:w="838" w:type="dxa"/>
            <w:gridSpan w:val="3"/>
            <w:tcBorders>
              <w:top w:val="single" w:sz="4" w:space="0" w:color="auto"/>
              <w:left w:val="nil"/>
              <w:bottom w:val="single" w:sz="4" w:space="0" w:color="auto"/>
              <w:right w:val="nil"/>
            </w:tcBorders>
            <w:shd w:val="clear" w:color="auto" w:fill="auto"/>
            <w:vAlign w:val="center"/>
            <w:hideMark/>
          </w:tcPr>
          <w:p w14:paraId="23DC1FA0" w14:textId="77777777" w:rsidR="004337E6" w:rsidRPr="002812B0" w:rsidRDefault="004337E6" w:rsidP="008975E4">
            <w:pPr>
              <w:rPr>
                <w:rFonts w:cstheme="minorHAnsi"/>
                <w:sz w:val="16"/>
                <w:szCs w:val="16"/>
              </w:rPr>
            </w:pPr>
            <w:r w:rsidRPr="002812B0">
              <w:rPr>
                <w:rFonts w:cstheme="minorHAnsi"/>
                <w:sz w:val="16"/>
                <w:szCs w:val="16"/>
              </w:rPr>
              <w:t>In&amp;Out</w:t>
            </w:r>
          </w:p>
        </w:tc>
        <w:tc>
          <w:tcPr>
            <w:tcW w:w="925" w:type="dxa"/>
            <w:tcBorders>
              <w:top w:val="single" w:sz="4" w:space="0" w:color="auto"/>
              <w:left w:val="nil"/>
              <w:bottom w:val="single" w:sz="4" w:space="0" w:color="auto"/>
              <w:right w:val="nil"/>
            </w:tcBorders>
            <w:shd w:val="clear" w:color="auto" w:fill="auto"/>
            <w:vAlign w:val="center"/>
            <w:hideMark/>
          </w:tcPr>
          <w:p w14:paraId="4EB60CEC" w14:textId="77777777" w:rsidR="004337E6" w:rsidRPr="002812B0" w:rsidRDefault="004337E6" w:rsidP="008975E4">
            <w:pPr>
              <w:rPr>
                <w:rFonts w:cstheme="minorHAnsi"/>
                <w:b/>
                <w:bCs/>
                <w:sz w:val="16"/>
                <w:szCs w:val="16"/>
              </w:rPr>
            </w:pPr>
            <w:r w:rsidRPr="002812B0">
              <w:rPr>
                <w:rFonts w:cstheme="minorHAnsi"/>
                <w:b/>
                <w:bCs/>
                <w:sz w:val="16"/>
                <w:szCs w:val="16"/>
              </w:rPr>
              <w:t>INSECURE</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91AA4BC" w14:textId="77777777" w:rsidR="004337E6" w:rsidRPr="002812B0" w:rsidRDefault="004337E6" w:rsidP="008975E4">
            <w:pPr>
              <w:rPr>
                <w:rFonts w:cstheme="minorHAnsi"/>
                <w:sz w:val="16"/>
                <w:szCs w:val="16"/>
              </w:rPr>
            </w:pPr>
            <w:r w:rsidRPr="002812B0">
              <w:rPr>
                <w:rFonts w:cstheme="minorHAnsi"/>
                <w:sz w:val="16"/>
                <w:szCs w:val="16"/>
              </w:rPr>
              <w:t>Return to Edu.</w:t>
            </w:r>
          </w:p>
        </w:tc>
        <w:tc>
          <w:tcPr>
            <w:tcW w:w="880" w:type="dxa"/>
            <w:tcBorders>
              <w:top w:val="single" w:sz="4" w:space="0" w:color="auto"/>
              <w:left w:val="nil"/>
              <w:bottom w:val="single" w:sz="4" w:space="0" w:color="auto"/>
              <w:right w:val="nil"/>
            </w:tcBorders>
            <w:shd w:val="clear" w:color="auto" w:fill="auto"/>
            <w:vAlign w:val="center"/>
            <w:hideMark/>
          </w:tcPr>
          <w:p w14:paraId="4E2E8275" w14:textId="77777777" w:rsidR="004337E6" w:rsidRPr="002812B0" w:rsidRDefault="004337E6" w:rsidP="008975E4">
            <w:pPr>
              <w:rPr>
                <w:rFonts w:cstheme="minorHAnsi"/>
                <w:sz w:val="16"/>
                <w:szCs w:val="16"/>
              </w:rPr>
            </w:pPr>
            <w:r w:rsidRPr="002812B0">
              <w:rPr>
                <w:rFonts w:cstheme="minorHAnsi"/>
                <w:sz w:val="16"/>
                <w:szCs w:val="16"/>
              </w:rPr>
              <w:t>Emp</w:t>
            </w:r>
            <w:r>
              <w:rPr>
                <w:rFonts w:cstheme="minorHAnsi"/>
                <w:sz w:val="16"/>
                <w:szCs w:val="16"/>
              </w:rPr>
              <w:t>loym</w:t>
            </w:r>
            <w:r w:rsidRPr="002812B0">
              <w:rPr>
                <w:rFonts w:cstheme="minorHAnsi"/>
                <w:sz w:val="16"/>
                <w:szCs w:val="16"/>
              </w:rPr>
              <w:t>. secure</w:t>
            </w:r>
          </w:p>
        </w:tc>
        <w:tc>
          <w:tcPr>
            <w:tcW w:w="838" w:type="dxa"/>
            <w:gridSpan w:val="2"/>
            <w:tcBorders>
              <w:top w:val="single" w:sz="4" w:space="0" w:color="auto"/>
              <w:left w:val="nil"/>
              <w:bottom w:val="single" w:sz="4" w:space="0" w:color="auto"/>
              <w:right w:val="nil"/>
            </w:tcBorders>
            <w:shd w:val="clear" w:color="auto" w:fill="auto"/>
            <w:vAlign w:val="center"/>
            <w:hideMark/>
          </w:tcPr>
          <w:p w14:paraId="694FAB40" w14:textId="77777777" w:rsidR="004337E6" w:rsidRPr="002812B0" w:rsidRDefault="004337E6" w:rsidP="008975E4">
            <w:pPr>
              <w:rPr>
                <w:rFonts w:cstheme="minorHAnsi"/>
                <w:sz w:val="16"/>
                <w:szCs w:val="16"/>
              </w:rPr>
            </w:pPr>
            <w:r w:rsidRPr="002812B0">
              <w:rPr>
                <w:rFonts w:cstheme="minorHAnsi"/>
                <w:sz w:val="16"/>
                <w:szCs w:val="16"/>
              </w:rPr>
              <w:t>Prev. Emp</w:t>
            </w:r>
            <w:r>
              <w:rPr>
                <w:rFonts w:cstheme="minorHAnsi"/>
                <w:sz w:val="16"/>
                <w:szCs w:val="16"/>
              </w:rPr>
              <w:t>l.</w:t>
            </w:r>
          </w:p>
        </w:tc>
        <w:tc>
          <w:tcPr>
            <w:tcW w:w="838" w:type="dxa"/>
            <w:gridSpan w:val="2"/>
            <w:tcBorders>
              <w:top w:val="single" w:sz="4" w:space="0" w:color="auto"/>
              <w:left w:val="nil"/>
              <w:bottom w:val="single" w:sz="4" w:space="0" w:color="auto"/>
              <w:right w:val="nil"/>
            </w:tcBorders>
            <w:shd w:val="clear" w:color="auto" w:fill="auto"/>
            <w:vAlign w:val="center"/>
            <w:hideMark/>
          </w:tcPr>
          <w:p w14:paraId="3069B3E8" w14:textId="77777777" w:rsidR="004337E6" w:rsidRPr="002812B0" w:rsidRDefault="004337E6" w:rsidP="008975E4">
            <w:pPr>
              <w:rPr>
                <w:rFonts w:cstheme="minorHAnsi"/>
                <w:b/>
                <w:bCs/>
                <w:sz w:val="16"/>
                <w:szCs w:val="16"/>
              </w:rPr>
            </w:pPr>
            <w:r w:rsidRPr="002812B0">
              <w:rPr>
                <w:rFonts w:cstheme="minorHAnsi"/>
                <w:b/>
                <w:bCs/>
                <w:sz w:val="16"/>
                <w:szCs w:val="16"/>
              </w:rPr>
              <w:t>SECURE</w:t>
            </w:r>
          </w:p>
        </w:tc>
        <w:tc>
          <w:tcPr>
            <w:tcW w:w="838" w:type="dxa"/>
            <w:gridSpan w:val="2"/>
            <w:tcBorders>
              <w:top w:val="single" w:sz="4" w:space="0" w:color="auto"/>
              <w:left w:val="nil"/>
              <w:bottom w:val="single" w:sz="4" w:space="0" w:color="auto"/>
              <w:right w:val="nil"/>
            </w:tcBorders>
            <w:shd w:val="clear" w:color="auto" w:fill="auto"/>
            <w:vAlign w:val="center"/>
            <w:hideMark/>
          </w:tcPr>
          <w:p w14:paraId="62279635" w14:textId="77777777" w:rsidR="004337E6" w:rsidRPr="002812B0" w:rsidRDefault="004337E6" w:rsidP="008975E4">
            <w:pPr>
              <w:rPr>
                <w:rFonts w:cstheme="minorHAnsi"/>
                <w:sz w:val="16"/>
                <w:szCs w:val="16"/>
              </w:rPr>
            </w:pPr>
            <w:r w:rsidRPr="002812B0">
              <w:rPr>
                <w:rFonts w:cstheme="minorHAnsi"/>
                <w:sz w:val="16"/>
                <w:szCs w:val="16"/>
              </w:rPr>
              <w:t>Prev. Unemp</w:t>
            </w:r>
            <w:r>
              <w:rPr>
                <w:rFonts w:cstheme="minorHAnsi"/>
                <w:sz w:val="16"/>
                <w:szCs w:val="16"/>
              </w:rPr>
              <w:t>l</w:t>
            </w:r>
          </w:p>
        </w:tc>
        <w:tc>
          <w:tcPr>
            <w:tcW w:w="838" w:type="dxa"/>
            <w:gridSpan w:val="2"/>
            <w:tcBorders>
              <w:top w:val="single" w:sz="4" w:space="0" w:color="auto"/>
              <w:left w:val="nil"/>
              <w:bottom w:val="single" w:sz="4" w:space="0" w:color="auto"/>
              <w:right w:val="nil"/>
            </w:tcBorders>
            <w:shd w:val="clear" w:color="auto" w:fill="auto"/>
            <w:vAlign w:val="center"/>
            <w:hideMark/>
          </w:tcPr>
          <w:p w14:paraId="23BA61AC" w14:textId="77777777" w:rsidR="004337E6" w:rsidRPr="002812B0" w:rsidRDefault="004337E6" w:rsidP="008975E4">
            <w:pPr>
              <w:rPr>
                <w:rFonts w:cstheme="minorHAnsi"/>
                <w:sz w:val="16"/>
                <w:szCs w:val="16"/>
              </w:rPr>
            </w:pPr>
            <w:r w:rsidRPr="002812B0">
              <w:rPr>
                <w:rFonts w:cstheme="minorHAnsi"/>
                <w:sz w:val="16"/>
                <w:szCs w:val="16"/>
              </w:rPr>
              <w:t>Prev. Inactive</w:t>
            </w:r>
          </w:p>
        </w:tc>
        <w:tc>
          <w:tcPr>
            <w:tcW w:w="838" w:type="dxa"/>
            <w:gridSpan w:val="2"/>
            <w:tcBorders>
              <w:top w:val="single" w:sz="4" w:space="0" w:color="auto"/>
              <w:left w:val="nil"/>
              <w:bottom w:val="single" w:sz="4" w:space="0" w:color="auto"/>
              <w:right w:val="nil"/>
            </w:tcBorders>
            <w:shd w:val="clear" w:color="auto" w:fill="auto"/>
            <w:vAlign w:val="center"/>
            <w:hideMark/>
          </w:tcPr>
          <w:p w14:paraId="4041C4F9" w14:textId="77777777" w:rsidR="004337E6" w:rsidRPr="002812B0" w:rsidRDefault="004337E6" w:rsidP="008975E4">
            <w:pPr>
              <w:rPr>
                <w:rFonts w:cstheme="minorHAnsi"/>
                <w:sz w:val="16"/>
                <w:szCs w:val="16"/>
              </w:rPr>
            </w:pPr>
            <w:r w:rsidRPr="002812B0">
              <w:rPr>
                <w:rFonts w:cstheme="minorHAnsi"/>
                <w:sz w:val="16"/>
                <w:szCs w:val="16"/>
              </w:rPr>
              <w:t>In&amp;Out</w:t>
            </w:r>
          </w:p>
        </w:tc>
        <w:tc>
          <w:tcPr>
            <w:tcW w:w="884" w:type="dxa"/>
            <w:gridSpan w:val="2"/>
            <w:tcBorders>
              <w:top w:val="single" w:sz="4" w:space="0" w:color="auto"/>
              <w:left w:val="nil"/>
              <w:bottom w:val="single" w:sz="4" w:space="0" w:color="auto"/>
              <w:right w:val="nil"/>
            </w:tcBorders>
            <w:shd w:val="clear" w:color="auto" w:fill="auto"/>
            <w:vAlign w:val="center"/>
            <w:hideMark/>
          </w:tcPr>
          <w:p w14:paraId="362E54DB" w14:textId="77777777" w:rsidR="004337E6" w:rsidRPr="002812B0" w:rsidRDefault="004337E6" w:rsidP="008975E4">
            <w:pPr>
              <w:rPr>
                <w:rFonts w:cstheme="minorHAnsi"/>
                <w:b/>
                <w:bCs/>
                <w:sz w:val="16"/>
                <w:szCs w:val="16"/>
              </w:rPr>
            </w:pPr>
            <w:r w:rsidRPr="002812B0">
              <w:rPr>
                <w:rFonts w:cstheme="minorHAnsi"/>
                <w:b/>
                <w:bCs/>
                <w:sz w:val="16"/>
                <w:szCs w:val="16"/>
              </w:rPr>
              <w:t>INSECURE</w:t>
            </w:r>
          </w:p>
        </w:tc>
        <w:tc>
          <w:tcPr>
            <w:tcW w:w="792" w:type="dxa"/>
            <w:tcBorders>
              <w:top w:val="single" w:sz="4" w:space="0" w:color="auto"/>
              <w:left w:val="nil"/>
              <w:bottom w:val="single" w:sz="4" w:space="0" w:color="auto"/>
              <w:right w:val="single" w:sz="4" w:space="0" w:color="auto"/>
            </w:tcBorders>
            <w:shd w:val="clear" w:color="auto" w:fill="auto"/>
            <w:vAlign w:val="center"/>
            <w:hideMark/>
          </w:tcPr>
          <w:p w14:paraId="2A7A2B94" w14:textId="77777777" w:rsidR="004337E6" w:rsidRPr="002812B0" w:rsidRDefault="004337E6" w:rsidP="008975E4">
            <w:pPr>
              <w:rPr>
                <w:rFonts w:cstheme="minorHAnsi"/>
                <w:sz w:val="16"/>
                <w:szCs w:val="16"/>
              </w:rPr>
            </w:pPr>
            <w:r w:rsidRPr="002812B0">
              <w:rPr>
                <w:rFonts w:cstheme="minorHAnsi"/>
                <w:sz w:val="16"/>
                <w:szCs w:val="16"/>
              </w:rPr>
              <w:t>Return to Edu.</w:t>
            </w:r>
          </w:p>
        </w:tc>
      </w:tr>
      <w:tr w:rsidR="004337E6" w:rsidRPr="002812B0" w14:paraId="7DB58B0C" w14:textId="77777777" w:rsidTr="008975E4">
        <w:trPr>
          <w:trHeight w:hRule="exact" w:val="284"/>
        </w:trPr>
        <w:tc>
          <w:tcPr>
            <w:tcW w:w="1452" w:type="dxa"/>
            <w:tcBorders>
              <w:top w:val="nil"/>
              <w:left w:val="single" w:sz="4" w:space="0" w:color="auto"/>
              <w:bottom w:val="nil"/>
              <w:right w:val="single" w:sz="4" w:space="0" w:color="auto"/>
            </w:tcBorders>
            <w:shd w:val="clear" w:color="auto" w:fill="auto"/>
            <w:noWrap/>
            <w:vAlign w:val="bottom"/>
            <w:hideMark/>
          </w:tcPr>
          <w:p w14:paraId="47D4F989" w14:textId="77777777" w:rsidR="004337E6" w:rsidRPr="002812B0" w:rsidRDefault="004337E6" w:rsidP="008975E4">
            <w:pPr>
              <w:rPr>
                <w:rFonts w:cstheme="minorHAnsi"/>
                <w:sz w:val="18"/>
                <w:szCs w:val="18"/>
              </w:rPr>
            </w:pPr>
            <w:r w:rsidRPr="002812B0">
              <w:rPr>
                <w:rFonts w:cstheme="minorHAnsi"/>
                <w:sz w:val="18"/>
                <w:szCs w:val="18"/>
              </w:rPr>
              <w:t>Bulgaria</w:t>
            </w:r>
          </w:p>
        </w:tc>
        <w:tc>
          <w:tcPr>
            <w:tcW w:w="425" w:type="dxa"/>
            <w:tcBorders>
              <w:top w:val="nil"/>
              <w:left w:val="nil"/>
              <w:bottom w:val="nil"/>
              <w:right w:val="nil"/>
            </w:tcBorders>
            <w:shd w:val="clear" w:color="auto" w:fill="auto"/>
            <w:noWrap/>
            <w:vAlign w:val="bottom"/>
            <w:hideMark/>
          </w:tcPr>
          <w:p w14:paraId="5075DE40" w14:textId="77777777" w:rsidR="004337E6" w:rsidRPr="002812B0" w:rsidRDefault="004337E6" w:rsidP="008975E4">
            <w:pPr>
              <w:ind w:right="-111"/>
              <w:jc w:val="left"/>
              <w:rPr>
                <w:rFonts w:cstheme="minorHAnsi"/>
                <w:sz w:val="18"/>
                <w:szCs w:val="18"/>
              </w:rPr>
            </w:pPr>
            <w:r w:rsidRPr="002812B0">
              <w:rPr>
                <w:rFonts w:cstheme="minorHAnsi"/>
                <w:sz w:val="18"/>
                <w:szCs w:val="18"/>
              </w:rPr>
              <w:t>BG</w:t>
            </w:r>
          </w:p>
        </w:tc>
        <w:tc>
          <w:tcPr>
            <w:tcW w:w="992" w:type="dxa"/>
            <w:gridSpan w:val="2"/>
            <w:tcBorders>
              <w:top w:val="nil"/>
              <w:left w:val="single" w:sz="4" w:space="0" w:color="auto"/>
              <w:bottom w:val="nil"/>
              <w:right w:val="nil"/>
            </w:tcBorders>
            <w:shd w:val="clear" w:color="auto" w:fill="auto"/>
            <w:noWrap/>
            <w:vAlign w:val="bottom"/>
            <w:hideMark/>
          </w:tcPr>
          <w:p w14:paraId="54DC2327" w14:textId="77777777" w:rsidR="004337E6" w:rsidRPr="002812B0" w:rsidRDefault="004337E6" w:rsidP="008975E4">
            <w:pPr>
              <w:jc w:val="right"/>
              <w:rPr>
                <w:rFonts w:cstheme="minorHAnsi"/>
                <w:sz w:val="18"/>
                <w:szCs w:val="18"/>
              </w:rPr>
            </w:pPr>
            <w:r w:rsidRPr="002812B0">
              <w:rPr>
                <w:rFonts w:cstheme="minorHAnsi"/>
                <w:sz w:val="18"/>
                <w:szCs w:val="18"/>
              </w:rPr>
              <w:t>50.00</w:t>
            </w:r>
          </w:p>
        </w:tc>
        <w:tc>
          <w:tcPr>
            <w:tcW w:w="992" w:type="dxa"/>
            <w:gridSpan w:val="2"/>
            <w:tcBorders>
              <w:top w:val="nil"/>
              <w:left w:val="nil"/>
              <w:bottom w:val="nil"/>
              <w:right w:val="nil"/>
            </w:tcBorders>
            <w:shd w:val="clear" w:color="auto" w:fill="auto"/>
            <w:noWrap/>
            <w:vAlign w:val="bottom"/>
            <w:hideMark/>
          </w:tcPr>
          <w:p w14:paraId="1C3D6A35" w14:textId="77777777" w:rsidR="004337E6" w:rsidRPr="002812B0" w:rsidRDefault="004337E6" w:rsidP="008975E4">
            <w:pPr>
              <w:jc w:val="right"/>
              <w:rPr>
                <w:rFonts w:cstheme="minorHAnsi"/>
                <w:sz w:val="18"/>
                <w:szCs w:val="18"/>
              </w:rPr>
            </w:pPr>
            <w:r w:rsidRPr="002812B0">
              <w:rPr>
                <w:rFonts w:cstheme="minorHAnsi"/>
                <w:sz w:val="18"/>
                <w:szCs w:val="18"/>
              </w:rPr>
              <w:t>16.47</w:t>
            </w:r>
          </w:p>
        </w:tc>
        <w:tc>
          <w:tcPr>
            <w:tcW w:w="851" w:type="dxa"/>
            <w:gridSpan w:val="2"/>
            <w:tcBorders>
              <w:top w:val="nil"/>
              <w:left w:val="nil"/>
              <w:bottom w:val="nil"/>
              <w:right w:val="nil"/>
            </w:tcBorders>
            <w:shd w:val="clear" w:color="auto" w:fill="auto"/>
            <w:noWrap/>
            <w:vAlign w:val="bottom"/>
            <w:hideMark/>
          </w:tcPr>
          <w:p w14:paraId="7B204153" w14:textId="77777777" w:rsidR="004337E6" w:rsidRPr="002812B0" w:rsidRDefault="004337E6" w:rsidP="008975E4">
            <w:pPr>
              <w:jc w:val="right"/>
              <w:rPr>
                <w:rFonts w:cstheme="minorHAnsi"/>
                <w:b/>
                <w:bCs/>
                <w:sz w:val="18"/>
                <w:szCs w:val="18"/>
              </w:rPr>
            </w:pPr>
            <w:r w:rsidRPr="002812B0">
              <w:rPr>
                <w:rFonts w:cstheme="minorHAnsi"/>
                <w:b/>
                <w:bCs/>
                <w:sz w:val="18"/>
                <w:szCs w:val="18"/>
              </w:rPr>
              <w:t>66.47</w:t>
            </w:r>
          </w:p>
        </w:tc>
        <w:tc>
          <w:tcPr>
            <w:tcW w:w="709" w:type="dxa"/>
            <w:gridSpan w:val="2"/>
            <w:tcBorders>
              <w:top w:val="nil"/>
              <w:left w:val="nil"/>
              <w:bottom w:val="nil"/>
              <w:right w:val="nil"/>
            </w:tcBorders>
            <w:shd w:val="clear" w:color="auto" w:fill="auto"/>
            <w:noWrap/>
            <w:vAlign w:val="bottom"/>
            <w:hideMark/>
          </w:tcPr>
          <w:p w14:paraId="1F7717B2" w14:textId="77777777" w:rsidR="004337E6" w:rsidRPr="002812B0" w:rsidRDefault="004337E6" w:rsidP="008975E4">
            <w:pPr>
              <w:jc w:val="right"/>
              <w:rPr>
                <w:rFonts w:cstheme="minorHAnsi"/>
                <w:sz w:val="18"/>
                <w:szCs w:val="18"/>
              </w:rPr>
            </w:pPr>
            <w:r w:rsidRPr="002812B0">
              <w:rPr>
                <w:rFonts w:cstheme="minorHAnsi"/>
                <w:sz w:val="18"/>
                <w:szCs w:val="18"/>
              </w:rPr>
              <w:t>20.28</w:t>
            </w:r>
          </w:p>
        </w:tc>
        <w:tc>
          <w:tcPr>
            <w:tcW w:w="817" w:type="dxa"/>
            <w:gridSpan w:val="2"/>
            <w:tcBorders>
              <w:top w:val="nil"/>
              <w:left w:val="nil"/>
              <w:bottom w:val="nil"/>
              <w:right w:val="nil"/>
            </w:tcBorders>
            <w:shd w:val="clear" w:color="auto" w:fill="auto"/>
            <w:noWrap/>
            <w:vAlign w:val="bottom"/>
            <w:hideMark/>
          </w:tcPr>
          <w:p w14:paraId="36D4DBF6" w14:textId="77777777" w:rsidR="004337E6" w:rsidRPr="002812B0" w:rsidRDefault="004337E6" w:rsidP="008975E4">
            <w:pPr>
              <w:jc w:val="right"/>
              <w:rPr>
                <w:rFonts w:cstheme="minorHAnsi"/>
                <w:sz w:val="18"/>
                <w:szCs w:val="18"/>
              </w:rPr>
            </w:pPr>
            <w:r w:rsidRPr="002812B0">
              <w:rPr>
                <w:rFonts w:cstheme="minorHAnsi"/>
                <w:sz w:val="18"/>
                <w:szCs w:val="18"/>
              </w:rPr>
              <w:t>9.04</w:t>
            </w:r>
          </w:p>
        </w:tc>
        <w:tc>
          <w:tcPr>
            <w:tcW w:w="659" w:type="dxa"/>
            <w:tcBorders>
              <w:top w:val="nil"/>
              <w:left w:val="nil"/>
              <w:bottom w:val="nil"/>
              <w:right w:val="nil"/>
            </w:tcBorders>
            <w:shd w:val="clear" w:color="auto" w:fill="auto"/>
            <w:noWrap/>
            <w:vAlign w:val="bottom"/>
            <w:hideMark/>
          </w:tcPr>
          <w:p w14:paraId="1F072D1C" w14:textId="77777777" w:rsidR="004337E6" w:rsidRPr="002812B0" w:rsidRDefault="004337E6" w:rsidP="008975E4">
            <w:pPr>
              <w:jc w:val="right"/>
              <w:rPr>
                <w:rFonts w:cstheme="minorHAnsi"/>
                <w:sz w:val="18"/>
                <w:szCs w:val="18"/>
              </w:rPr>
            </w:pPr>
            <w:r w:rsidRPr="002812B0">
              <w:rPr>
                <w:rFonts w:cstheme="minorHAnsi"/>
                <w:sz w:val="18"/>
                <w:szCs w:val="18"/>
              </w:rPr>
              <w:t>4.02</w:t>
            </w:r>
          </w:p>
        </w:tc>
        <w:tc>
          <w:tcPr>
            <w:tcW w:w="933" w:type="dxa"/>
            <w:gridSpan w:val="2"/>
            <w:tcBorders>
              <w:top w:val="nil"/>
              <w:left w:val="nil"/>
              <w:bottom w:val="nil"/>
              <w:right w:val="nil"/>
            </w:tcBorders>
            <w:shd w:val="clear" w:color="auto" w:fill="auto"/>
            <w:noWrap/>
            <w:vAlign w:val="bottom"/>
            <w:hideMark/>
          </w:tcPr>
          <w:p w14:paraId="715A3C3F" w14:textId="77777777" w:rsidR="004337E6" w:rsidRPr="002812B0" w:rsidRDefault="004337E6" w:rsidP="008975E4">
            <w:pPr>
              <w:jc w:val="right"/>
              <w:rPr>
                <w:rFonts w:cstheme="minorHAnsi"/>
                <w:b/>
                <w:bCs/>
                <w:sz w:val="18"/>
                <w:szCs w:val="18"/>
              </w:rPr>
            </w:pPr>
            <w:r w:rsidRPr="002812B0">
              <w:rPr>
                <w:rFonts w:cstheme="minorHAnsi"/>
                <w:b/>
                <w:bCs/>
                <w:sz w:val="18"/>
                <w:szCs w:val="18"/>
              </w:rPr>
              <w:t>33.34</w:t>
            </w:r>
          </w:p>
        </w:tc>
        <w:tc>
          <w:tcPr>
            <w:tcW w:w="709" w:type="dxa"/>
            <w:tcBorders>
              <w:top w:val="nil"/>
              <w:left w:val="nil"/>
              <w:bottom w:val="nil"/>
              <w:right w:val="single" w:sz="4" w:space="0" w:color="auto"/>
            </w:tcBorders>
            <w:shd w:val="clear" w:color="auto" w:fill="auto"/>
            <w:noWrap/>
            <w:vAlign w:val="bottom"/>
            <w:hideMark/>
          </w:tcPr>
          <w:p w14:paraId="2DC63C1E" w14:textId="77777777" w:rsidR="004337E6" w:rsidRPr="002812B0" w:rsidRDefault="004337E6" w:rsidP="008975E4">
            <w:pPr>
              <w:jc w:val="right"/>
              <w:rPr>
                <w:rFonts w:cstheme="minorHAnsi"/>
                <w:sz w:val="18"/>
                <w:szCs w:val="18"/>
              </w:rPr>
            </w:pPr>
            <w:r w:rsidRPr="002812B0">
              <w:rPr>
                <w:rFonts w:cstheme="minorHAnsi"/>
                <w:sz w:val="18"/>
                <w:szCs w:val="18"/>
              </w:rPr>
              <w:t>0.20</w:t>
            </w:r>
          </w:p>
        </w:tc>
        <w:tc>
          <w:tcPr>
            <w:tcW w:w="989" w:type="dxa"/>
            <w:gridSpan w:val="2"/>
            <w:tcBorders>
              <w:top w:val="nil"/>
              <w:left w:val="nil"/>
              <w:bottom w:val="nil"/>
              <w:right w:val="nil"/>
            </w:tcBorders>
            <w:shd w:val="clear" w:color="auto" w:fill="auto"/>
            <w:noWrap/>
            <w:vAlign w:val="center"/>
            <w:hideMark/>
          </w:tcPr>
          <w:p w14:paraId="28FD0EB6" w14:textId="77777777" w:rsidR="004337E6" w:rsidRPr="002812B0" w:rsidRDefault="004337E6" w:rsidP="008975E4">
            <w:pPr>
              <w:jc w:val="right"/>
              <w:rPr>
                <w:rFonts w:cstheme="minorHAnsi"/>
                <w:sz w:val="18"/>
                <w:szCs w:val="18"/>
              </w:rPr>
            </w:pPr>
            <w:r w:rsidRPr="002812B0">
              <w:rPr>
                <w:rFonts w:cstheme="minorHAnsi"/>
                <w:sz w:val="18"/>
                <w:szCs w:val="18"/>
              </w:rPr>
              <w:t>56.05</w:t>
            </w:r>
          </w:p>
        </w:tc>
        <w:tc>
          <w:tcPr>
            <w:tcW w:w="894" w:type="dxa"/>
            <w:gridSpan w:val="2"/>
            <w:tcBorders>
              <w:top w:val="nil"/>
              <w:left w:val="nil"/>
              <w:bottom w:val="nil"/>
              <w:right w:val="nil"/>
            </w:tcBorders>
            <w:shd w:val="clear" w:color="auto" w:fill="auto"/>
            <w:noWrap/>
            <w:vAlign w:val="center"/>
            <w:hideMark/>
          </w:tcPr>
          <w:p w14:paraId="0F2A1E5B" w14:textId="77777777" w:rsidR="004337E6" w:rsidRPr="002812B0" w:rsidRDefault="004337E6" w:rsidP="008975E4">
            <w:pPr>
              <w:jc w:val="right"/>
              <w:rPr>
                <w:rFonts w:cstheme="minorHAnsi"/>
                <w:sz w:val="18"/>
                <w:szCs w:val="18"/>
              </w:rPr>
            </w:pPr>
            <w:r w:rsidRPr="002812B0">
              <w:rPr>
                <w:rFonts w:cstheme="minorHAnsi"/>
                <w:sz w:val="18"/>
                <w:szCs w:val="18"/>
              </w:rPr>
              <w:t>8.06</w:t>
            </w:r>
          </w:p>
        </w:tc>
        <w:tc>
          <w:tcPr>
            <w:tcW w:w="690" w:type="dxa"/>
            <w:gridSpan w:val="2"/>
            <w:tcBorders>
              <w:top w:val="nil"/>
              <w:left w:val="nil"/>
              <w:bottom w:val="nil"/>
              <w:right w:val="nil"/>
            </w:tcBorders>
            <w:shd w:val="clear" w:color="auto" w:fill="auto"/>
            <w:noWrap/>
            <w:vAlign w:val="center"/>
            <w:hideMark/>
          </w:tcPr>
          <w:p w14:paraId="5DDB5269" w14:textId="77777777" w:rsidR="004337E6" w:rsidRPr="002812B0" w:rsidRDefault="004337E6" w:rsidP="008975E4">
            <w:pPr>
              <w:jc w:val="right"/>
              <w:rPr>
                <w:rFonts w:cstheme="minorHAnsi"/>
                <w:b/>
                <w:bCs/>
                <w:sz w:val="18"/>
                <w:szCs w:val="18"/>
              </w:rPr>
            </w:pPr>
            <w:r w:rsidRPr="002812B0">
              <w:rPr>
                <w:rFonts w:cstheme="minorHAnsi"/>
                <w:b/>
                <w:bCs/>
                <w:sz w:val="18"/>
                <w:szCs w:val="18"/>
              </w:rPr>
              <w:t>64.11</w:t>
            </w:r>
          </w:p>
        </w:tc>
        <w:tc>
          <w:tcPr>
            <w:tcW w:w="974" w:type="dxa"/>
            <w:gridSpan w:val="2"/>
            <w:tcBorders>
              <w:top w:val="nil"/>
              <w:left w:val="nil"/>
              <w:bottom w:val="nil"/>
              <w:right w:val="nil"/>
            </w:tcBorders>
            <w:shd w:val="clear" w:color="auto" w:fill="auto"/>
            <w:noWrap/>
            <w:vAlign w:val="center"/>
            <w:hideMark/>
          </w:tcPr>
          <w:p w14:paraId="41F57FAE" w14:textId="77777777" w:rsidR="004337E6" w:rsidRPr="002812B0" w:rsidRDefault="004337E6" w:rsidP="008975E4">
            <w:pPr>
              <w:jc w:val="right"/>
              <w:rPr>
                <w:rFonts w:cstheme="minorHAnsi"/>
                <w:sz w:val="18"/>
                <w:szCs w:val="18"/>
              </w:rPr>
            </w:pPr>
            <w:r w:rsidRPr="002812B0">
              <w:rPr>
                <w:rFonts w:cstheme="minorHAnsi"/>
                <w:sz w:val="18"/>
                <w:szCs w:val="18"/>
              </w:rPr>
              <w:t>23.68</w:t>
            </w:r>
          </w:p>
        </w:tc>
        <w:tc>
          <w:tcPr>
            <w:tcW w:w="894" w:type="dxa"/>
            <w:gridSpan w:val="2"/>
            <w:tcBorders>
              <w:top w:val="nil"/>
              <w:left w:val="nil"/>
              <w:bottom w:val="nil"/>
              <w:right w:val="nil"/>
            </w:tcBorders>
            <w:shd w:val="clear" w:color="auto" w:fill="auto"/>
            <w:noWrap/>
            <w:vAlign w:val="center"/>
            <w:hideMark/>
          </w:tcPr>
          <w:p w14:paraId="02300185" w14:textId="77777777" w:rsidR="004337E6" w:rsidRPr="002812B0" w:rsidRDefault="004337E6" w:rsidP="008975E4">
            <w:pPr>
              <w:jc w:val="right"/>
              <w:rPr>
                <w:rFonts w:cstheme="minorHAnsi"/>
                <w:sz w:val="18"/>
                <w:szCs w:val="18"/>
              </w:rPr>
            </w:pPr>
            <w:r w:rsidRPr="002812B0">
              <w:rPr>
                <w:rFonts w:cstheme="minorHAnsi"/>
                <w:sz w:val="18"/>
                <w:szCs w:val="18"/>
              </w:rPr>
              <w:t>8.82</w:t>
            </w:r>
          </w:p>
        </w:tc>
        <w:tc>
          <w:tcPr>
            <w:tcW w:w="659" w:type="dxa"/>
            <w:gridSpan w:val="2"/>
            <w:tcBorders>
              <w:top w:val="nil"/>
              <w:left w:val="nil"/>
              <w:bottom w:val="nil"/>
              <w:right w:val="nil"/>
            </w:tcBorders>
            <w:shd w:val="clear" w:color="auto" w:fill="auto"/>
            <w:noWrap/>
            <w:vAlign w:val="center"/>
            <w:hideMark/>
          </w:tcPr>
          <w:p w14:paraId="06B6ED7D" w14:textId="77777777" w:rsidR="004337E6" w:rsidRPr="002812B0" w:rsidRDefault="004337E6" w:rsidP="008975E4">
            <w:pPr>
              <w:jc w:val="right"/>
              <w:rPr>
                <w:rFonts w:cstheme="minorHAnsi"/>
                <w:sz w:val="18"/>
                <w:szCs w:val="18"/>
              </w:rPr>
            </w:pPr>
            <w:r w:rsidRPr="002812B0">
              <w:rPr>
                <w:rFonts w:cstheme="minorHAnsi"/>
                <w:sz w:val="18"/>
                <w:szCs w:val="18"/>
              </w:rPr>
              <w:t>3.27</w:t>
            </w:r>
          </w:p>
        </w:tc>
        <w:tc>
          <w:tcPr>
            <w:tcW w:w="854" w:type="dxa"/>
            <w:tcBorders>
              <w:top w:val="nil"/>
              <w:left w:val="nil"/>
              <w:bottom w:val="nil"/>
              <w:right w:val="nil"/>
            </w:tcBorders>
            <w:shd w:val="clear" w:color="auto" w:fill="auto"/>
            <w:noWrap/>
            <w:vAlign w:val="center"/>
            <w:hideMark/>
          </w:tcPr>
          <w:p w14:paraId="32C1814C" w14:textId="77777777" w:rsidR="004337E6" w:rsidRPr="002812B0" w:rsidRDefault="004337E6" w:rsidP="008975E4">
            <w:pPr>
              <w:jc w:val="right"/>
              <w:rPr>
                <w:rFonts w:cstheme="minorHAnsi"/>
                <w:b/>
                <w:bCs/>
                <w:sz w:val="18"/>
                <w:szCs w:val="18"/>
              </w:rPr>
            </w:pPr>
            <w:r w:rsidRPr="002812B0">
              <w:rPr>
                <w:rFonts w:cstheme="minorHAnsi"/>
                <w:b/>
                <w:bCs/>
                <w:sz w:val="18"/>
                <w:szCs w:val="18"/>
              </w:rPr>
              <w:t>35.77</w:t>
            </w:r>
          </w:p>
        </w:tc>
        <w:tc>
          <w:tcPr>
            <w:tcW w:w="792" w:type="dxa"/>
            <w:tcBorders>
              <w:top w:val="nil"/>
              <w:left w:val="nil"/>
              <w:bottom w:val="nil"/>
              <w:right w:val="single" w:sz="4" w:space="0" w:color="auto"/>
            </w:tcBorders>
            <w:shd w:val="clear" w:color="auto" w:fill="auto"/>
            <w:noWrap/>
            <w:vAlign w:val="center"/>
            <w:hideMark/>
          </w:tcPr>
          <w:p w14:paraId="448A0383" w14:textId="77777777" w:rsidR="004337E6" w:rsidRPr="002812B0" w:rsidRDefault="004337E6" w:rsidP="008975E4">
            <w:pPr>
              <w:jc w:val="right"/>
              <w:rPr>
                <w:rFonts w:cstheme="minorHAnsi"/>
                <w:sz w:val="18"/>
                <w:szCs w:val="18"/>
              </w:rPr>
            </w:pPr>
            <w:r w:rsidRPr="002812B0">
              <w:rPr>
                <w:rFonts w:cstheme="minorHAnsi"/>
                <w:sz w:val="18"/>
                <w:szCs w:val="18"/>
              </w:rPr>
              <w:t>0.13</w:t>
            </w:r>
          </w:p>
        </w:tc>
      </w:tr>
      <w:tr w:rsidR="004337E6" w:rsidRPr="002812B0" w14:paraId="34B11F23" w14:textId="77777777" w:rsidTr="008975E4">
        <w:trPr>
          <w:trHeight w:hRule="exact" w:val="284"/>
        </w:trPr>
        <w:tc>
          <w:tcPr>
            <w:tcW w:w="1452" w:type="dxa"/>
            <w:tcBorders>
              <w:top w:val="nil"/>
              <w:left w:val="single" w:sz="4" w:space="0" w:color="auto"/>
              <w:bottom w:val="nil"/>
              <w:right w:val="single" w:sz="4" w:space="0" w:color="auto"/>
            </w:tcBorders>
            <w:shd w:val="clear" w:color="auto" w:fill="auto"/>
            <w:noWrap/>
            <w:vAlign w:val="bottom"/>
            <w:hideMark/>
          </w:tcPr>
          <w:p w14:paraId="38A43469" w14:textId="77777777" w:rsidR="004337E6" w:rsidRPr="002812B0" w:rsidRDefault="004337E6" w:rsidP="008975E4">
            <w:pPr>
              <w:rPr>
                <w:rFonts w:cstheme="minorHAnsi"/>
                <w:sz w:val="18"/>
                <w:szCs w:val="18"/>
              </w:rPr>
            </w:pPr>
            <w:r w:rsidRPr="002812B0">
              <w:rPr>
                <w:rFonts w:cstheme="minorHAnsi"/>
                <w:sz w:val="18"/>
                <w:szCs w:val="18"/>
              </w:rPr>
              <w:t>Italy</w:t>
            </w:r>
          </w:p>
        </w:tc>
        <w:tc>
          <w:tcPr>
            <w:tcW w:w="425" w:type="dxa"/>
            <w:tcBorders>
              <w:top w:val="nil"/>
              <w:left w:val="nil"/>
              <w:bottom w:val="nil"/>
              <w:right w:val="nil"/>
            </w:tcBorders>
            <w:shd w:val="clear" w:color="auto" w:fill="auto"/>
            <w:noWrap/>
            <w:vAlign w:val="bottom"/>
            <w:hideMark/>
          </w:tcPr>
          <w:p w14:paraId="0E7B6CF3" w14:textId="77777777" w:rsidR="004337E6" w:rsidRPr="002812B0" w:rsidRDefault="004337E6" w:rsidP="008975E4">
            <w:pPr>
              <w:ind w:right="-111"/>
              <w:jc w:val="left"/>
              <w:rPr>
                <w:rFonts w:cstheme="minorHAnsi"/>
                <w:sz w:val="18"/>
                <w:szCs w:val="18"/>
              </w:rPr>
            </w:pPr>
            <w:r w:rsidRPr="002812B0">
              <w:rPr>
                <w:rFonts w:cstheme="minorHAnsi"/>
                <w:sz w:val="18"/>
                <w:szCs w:val="18"/>
              </w:rPr>
              <w:t>IT</w:t>
            </w:r>
          </w:p>
        </w:tc>
        <w:tc>
          <w:tcPr>
            <w:tcW w:w="992" w:type="dxa"/>
            <w:gridSpan w:val="2"/>
            <w:tcBorders>
              <w:top w:val="nil"/>
              <w:left w:val="single" w:sz="4" w:space="0" w:color="auto"/>
              <w:bottom w:val="nil"/>
              <w:right w:val="nil"/>
            </w:tcBorders>
            <w:shd w:val="clear" w:color="auto" w:fill="auto"/>
            <w:noWrap/>
            <w:vAlign w:val="bottom"/>
            <w:hideMark/>
          </w:tcPr>
          <w:p w14:paraId="300F60B9" w14:textId="77777777" w:rsidR="004337E6" w:rsidRPr="002812B0" w:rsidRDefault="004337E6" w:rsidP="008975E4">
            <w:pPr>
              <w:jc w:val="right"/>
              <w:rPr>
                <w:rFonts w:cstheme="minorHAnsi"/>
                <w:sz w:val="18"/>
                <w:szCs w:val="18"/>
              </w:rPr>
            </w:pPr>
            <w:r w:rsidRPr="002812B0">
              <w:rPr>
                <w:rFonts w:cstheme="minorHAnsi"/>
                <w:sz w:val="18"/>
                <w:szCs w:val="18"/>
              </w:rPr>
              <w:t>59.79</w:t>
            </w:r>
          </w:p>
        </w:tc>
        <w:tc>
          <w:tcPr>
            <w:tcW w:w="992" w:type="dxa"/>
            <w:gridSpan w:val="2"/>
            <w:tcBorders>
              <w:top w:val="nil"/>
              <w:left w:val="nil"/>
              <w:bottom w:val="nil"/>
              <w:right w:val="nil"/>
            </w:tcBorders>
            <w:shd w:val="clear" w:color="auto" w:fill="auto"/>
            <w:noWrap/>
            <w:vAlign w:val="bottom"/>
            <w:hideMark/>
          </w:tcPr>
          <w:p w14:paraId="58FE66C2" w14:textId="77777777" w:rsidR="004337E6" w:rsidRPr="002812B0" w:rsidRDefault="004337E6" w:rsidP="008975E4">
            <w:pPr>
              <w:jc w:val="right"/>
              <w:rPr>
                <w:rFonts w:cstheme="minorHAnsi"/>
                <w:sz w:val="18"/>
                <w:szCs w:val="18"/>
              </w:rPr>
            </w:pPr>
            <w:r w:rsidRPr="002812B0">
              <w:rPr>
                <w:rFonts w:cstheme="minorHAnsi"/>
                <w:sz w:val="18"/>
                <w:szCs w:val="18"/>
              </w:rPr>
              <w:t>11.24</w:t>
            </w:r>
          </w:p>
        </w:tc>
        <w:tc>
          <w:tcPr>
            <w:tcW w:w="851" w:type="dxa"/>
            <w:gridSpan w:val="2"/>
            <w:tcBorders>
              <w:top w:val="nil"/>
              <w:left w:val="nil"/>
              <w:bottom w:val="nil"/>
              <w:right w:val="nil"/>
            </w:tcBorders>
            <w:shd w:val="clear" w:color="auto" w:fill="auto"/>
            <w:noWrap/>
            <w:vAlign w:val="bottom"/>
            <w:hideMark/>
          </w:tcPr>
          <w:p w14:paraId="32B8FA3E" w14:textId="77777777" w:rsidR="004337E6" w:rsidRPr="002812B0" w:rsidRDefault="004337E6" w:rsidP="008975E4">
            <w:pPr>
              <w:jc w:val="right"/>
              <w:rPr>
                <w:rFonts w:cstheme="minorHAnsi"/>
                <w:b/>
                <w:bCs/>
                <w:sz w:val="18"/>
                <w:szCs w:val="18"/>
              </w:rPr>
            </w:pPr>
            <w:r w:rsidRPr="002812B0">
              <w:rPr>
                <w:rFonts w:cstheme="minorHAnsi"/>
                <w:b/>
                <w:bCs/>
                <w:sz w:val="18"/>
                <w:szCs w:val="18"/>
              </w:rPr>
              <w:t>71.03</w:t>
            </w:r>
          </w:p>
        </w:tc>
        <w:tc>
          <w:tcPr>
            <w:tcW w:w="709" w:type="dxa"/>
            <w:gridSpan w:val="2"/>
            <w:tcBorders>
              <w:top w:val="nil"/>
              <w:left w:val="nil"/>
              <w:bottom w:val="nil"/>
              <w:right w:val="nil"/>
            </w:tcBorders>
            <w:shd w:val="clear" w:color="auto" w:fill="auto"/>
            <w:noWrap/>
            <w:vAlign w:val="bottom"/>
            <w:hideMark/>
          </w:tcPr>
          <w:p w14:paraId="7D64E739" w14:textId="77777777" w:rsidR="004337E6" w:rsidRPr="002812B0" w:rsidRDefault="004337E6" w:rsidP="008975E4">
            <w:pPr>
              <w:jc w:val="right"/>
              <w:rPr>
                <w:rFonts w:cstheme="minorHAnsi"/>
                <w:sz w:val="18"/>
                <w:szCs w:val="18"/>
              </w:rPr>
            </w:pPr>
            <w:r w:rsidRPr="002812B0">
              <w:rPr>
                <w:rFonts w:cstheme="minorHAnsi"/>
                <w:sz w:val="18"/>
                <w:szCs w:val="18"/>
              </w:rPr>
              <w:t>16.94</w:t>
            </w:r>
          </w:p>
        </w:tc>
        <w:tc>
          <w:tcPr>
            <w:tcW w:w="817" w:type="dxa"/>
            <w:gridSpan w:val="2"/>
            <w:tcBorders>
              <w:top w:val="nil"/>
              <w:left w:val="nil"/>
              <w:bottom w:val="nil"/>
              <w:right w:val="nil"/>
            </w:tcBorders>
            <w:shd w:val="clear" w:color="auto" w:fill="auto"/>
            <w:noWrap/>
            <w:vAlign w:val="bottom"/>
            <w:hideMark/>
          </w:tcPr>
          <w:p w14:paraId="23077995" w14:textId="77777777" w:rsidR="004337E6" w:rsidRPr="002812B0" w:rsidRDefault="004337E6" w:rsidP="008975E4">
            <w:pPr>
              <w:jc w:val="right"/>
              <w:rPr>
                <w:rFonts w:cstheme="minorHAnsi"/>
                <w:sz w:val="18"/>
                <w:szCs w:val="18"/>
              </w:rPr>
            </w:pPr>
            <w:r w:rsidRPr="002812B0">
              <w:rPr>
                <w:rFonts w:cstheme="minorHAnsi"/>
                <w:sz w:val="18"/>
                <w:szCs w:val="18"/>
              </w:rPr>
              <w:t>5.32</w:t>
            </w:r>
          </w:p>
        </w:tc>
        <w:tc>
          <w:tcPr>
            <w:tcW w:w="659" w:type="dxa"/>
            <w:tcBorders>
              <w:top w:val="nil"/>
              <w:left w:val="nil"/>
              <w:bottom w:val="nil"/>
              <w:right w:val="nil"/>
            </w:tcBorders>
            <w:shd w:val="clear" w:color="auto" w:fill="auto"/>
            <w:noWrap/>
            <w:vAlign w:val="bottom"/>
            <w:hideMark/>
          </w:tcPr>
          <w:p w14:paraId="70D016FA" w14:textId="77777777" w:rsidR="004337E6" w:rsidRPr="002812B0" w:rsidRDefault="004337E6" w:rsidP="008975E4">
            <w:pPr>
              <w:jc w:val="right"/>
              <w:rPr>
                <w:rFonts w:cstheme="minorHAnsi"/>
                <w:sz w:val="18"/>
                <w:szCs w:val="18"/>
              </w:rPr>
            </w:pPr>
            <w:r w:rsidRPr="002812B0">
              <w:rPr>
                <w:rFonts w:cstheme="minorHAnsi"/>
                <w:sz w:val="18"/>
                <w:szCs w:val="18"/>
              </w:rPr>
              <w:t>5.62</w:t>
            </w:r>
          </w:p>
        </w:tc>
        <w:tc>
          <w:tcPr>
            <w:tcW w:w="933" w:type="dxa"/>
            <w:gridSpan w:val="2"/>
            <w:tcBorders>
              <w:top w:val="nil"/>
              <w:left w:val="nil"/>
              <w:bottom w:val="nil"/>
              <w:right w:val="nil"/>
            </w:tcBorders>
            <w:shd w:val="clear" w:color="auto" w:fill="auto"/>
            <w:noWrap/>
            <w:vAlign w:val="bottom"/>
            <w:hideMark/>
          </w:tcPr>
          <w:p w14:paraId="7A0E6A74" w14:textId="77777777" w:rsidR="004337E6" w:rsidRPr="002812B0" w:rsidRDefault="004337E6" w:rsidP="008975E4">
            <w:pPr>
              <w:jc w:val="right"/>
              <w:rPr>
                <w:rFonts w:cstheme="minorHAnsi"/>
                <w:b/>
                <w:bCs/>
                <w:sz w:val="18"/>
                <w:szCs w:val="18"/>
              </w:rPr>
            </w:pPr>
            <w:r w:rsidRPr="002812B0">
              <w:rPr>
                <w:rFonts w:cstheme="minorHAnsi"/>
                <w:b/>
                <w:bCs/>
                <w:sz w:val="18"/>
                <w:szCs w:val="18"/>
              </w:rPr>
              <w:t>27.88</w:t>
            </w:r>
          </w:p>
        </w:tc>
        <w:tc>
          <w:tcPr>
            <w:tcW w:w="709" w:type="dxa"/>
            <w:tcBorders>
              <w:top w:val="nil"/>
              <w:left w:val="nil"/>
              <w:bottom w:val="nil"/>
              <w:right w:val="single" w:sz="4" w:space="0" w:color="auto"/>
            </w:tcBorders>
            <w:shd w:val="clear" w:color="auto" w:fill="auto"/>
            <w:noWrap/>
            <w:vAlign w:val="bottom"/>
            <w:hideMark/>
          </w:tcPr>
          <w:p w14:paraId="1616EB17" w14:textId="77777777" w:rsidR="004337E6" w:rsidRPr="002812B0" w:rsidRDefault="004337E6" w:rsidP="008975E4">
            <w:pPr>
              <w:jc w:val="right"/>
              <w:rPr>
                <w:rFonts w:cstheme="minorHAnsi"/>
                <w:sz w:val="18"/>
                <w:szCs w:val="18"/>
              </w:rPr>
            </w:pPr>
            <w:r w:rsidRPr="002812B0">
              <w:rPr>
                <w:rFonts w:cstheme="minorHAnsi"/>
                <w:sz w:val="18"/>
                <w:szCs w:val="18"/>
              </w:rPr>
              <w:t>1.09</w:t>
            </w:r>
          </w:p>
        </w:tc>
        <w:tc>
          <w:tcPr>
            <w:tcW w:w="989" w:type="dxa"/>
            <w:gridSpan w:val="2"/>
            <w:tcBorders>
              <w:top w:val="nil"/>
              <w:left w:val="nil"/>
              <w:bottom w:val="nil"/>
              <w:right w:val="nil"/>
            </w:tcBorders>
            <w:shd w:val="clear" w:color="auto" w:fill="auto"/>
            <w:noWrap/>
            <w:vAlign w:val="center"/>
            <w:hideMark/>
          </w:tcPr>
          <w:p w14:paraId="08458A14" w14:textId="77777777" w:rsidR="004337E6" w:rsidRPr="002812B0" w:rsidRDefault="004337E6" w:rsidP="008975E4">
            <w:pPr>
              <w:jc w:val="right"/>
              <w:rPr>
                <w:rFonts w:cstheme="minorHAnsi"/>
                <w:sz w:val="18"/>
                <w:szCs w:val="18"/>
              </w:rPr>
            </w:pPr>
            <w:r w:rsidRPr="002812B0">
              <w:rPr>
                <w:rFonts w:cstheme="minorHAnsi"/>
                <w:sz w:val="18"/>
                <w:szCs w:val="18"/>
              </w:rPr>
              <w:t>53.41</w:t>
            </w:r>
          </w:p>
        </w:tc>
        <w:tc>
          <w:tcPr>
            <w:tcW w:w="894" w:type="dxa"/>
            <w:gridSpan w:val="2"/>
            <w:tcBorders>
              <w:top w:val="nil"/>
              <w:left w:val="nil"/>
              <w:bottom w:val="nil"/>
              <w:right w:val="nil"/>
            </w:tcBorders>
            <w:shd w:val="clear" w:color="auto" w:fill="auto"/>
            <w:noWrap/>
            <w:vAlign w:val="center"/>
            <w:hideMark/>
          </w:tcPr>
          <w:p w14:paraId="6ECEE7FF" w14:textId="77777777" w:rsidR="004337E6" w:rsidRPr="002812B0" w:rsidRDefault="004337E6" w:rsidP="008975E4">
            <w:pPr>
              <w:jc w:val="right"/>
              <w:rPr>
                <w:rFonts w:cstheme="minorHAnsi"/>
                <w:sz w:val="18"/>
                <w:szCs w:val="18"/>
              </w:rPr>
            </w:pPr>
            <w:r w:rsidRPr="002812B0">
              <w:rPr>
                <w:rFonts w:cstheme="minorHAnsi"/>
                <w:sz w:val="18"/>
                <w:szCs w:val="18"/>
              </w:rPr>
              <w:t>12.31</w:t>
            </w:r>
          </w:p>
        </w:tc>
        <w:tc>
          <w:tcPr>
            <w:tcW w:w="690" w:type="dxa"/>
            <w:gridSpan w:val="2"/>
            <w:tcBorders>
              <w:top w:val="nil"/>
              <w:left w:val="nil"/>
              <w:bottom w:val="nil"/>
              <w:right w:val="nil"/>
            </w:tcBorders>
            <w:shd w:val="clear" w:color="auto" w:fill="auto"/>
            <w:noWrap/>
            <w:vAlign w:val="center"/>
            <w:hideMark/>
          </w:tcPr>
          <w:p w14:paraId="12A70D76" w14:textId="77777777" w:rsidR="004337E6" w:rsidRPr="002812B0" w:rsidRDefault="004337E6" w:rsidP="008975E4">
            <w:pPr>
              <w:jc w:val="right"/>
              <w:rPr>
                <w:rFonts w:cstheme="minorHAnsi"/>
                <w:b/>
                <w:bCs/>
                <w:sz w:val="18"/>
                <w:szCs w:val="18"/>
              </w:rPr>
            </w:pPr>
            <w:r w:rsidRPr="002812B0">
              <w:rPr>
                <w:rFonts w:cstheme="minorHAnsi"/>
                <w:b/>
                <w:bCs/>
                <w:sz w:val="18"/>
                <w:szCs w:val="18"/>
              </w:rPr>
              <w:t>65.72</w:t>
            </w:r>
          </w:p>
        </w:tc>
        <w:tc>
          <w:tcPr>
            <w:tcW w:w="974" w:type="dxa"/>
            <w:gridSpan w:val="2"/>
            <w:tcBorders>
              <w:top w:val="nil"/>
              <w:left w:val="nil"/>
              <w:bottom w:val="nil"/>
              <w:right w:val="nil"/>
            </w:tcBorders>
            <w:shd w:val="clear" w:color="auto" w:fill="auto"/>
            <w:noWrap/>
            <w:vAlign w:val="center"/>
            <w:hideMark/>
          </w:tcPr>
          <w:p w14:paraId="2DBC2A08" w14:textId="77777777" w:rsidR="004337E6" w:rsidRPr="002812B0" w:rsidRDefault="004337E6" w:rsidP="008975E4">
            <w:pPr>
              <w:jc w:val="right"/>
              <w:rPr>
                <w:rFonts w:cstheme="minorHAnsi"/>
                <w:sz w:val="18"/>
                <w:szCs w:val="18"/>
              </w:rPr>
            </w:pPr>
            <w:r w:rsidRPr="002812B0">
              <w:rPr>
                <w:rFonts w:cstheme="minorHAnsi"/>
                <w:sz w:val="18"/>
                <w:szCs w:val="18"/>
              </w:rPr>
              <w:t>22.08</w:t>
            </w:r>
          </w:p>
        </w:tc>
        <w:tc>
          <w:tcPr>
            <w:tcW w:w="894" w:type="dxa"/>
            <w:gridSpan w:val="2"/>
            <w:tcBorders>
              <w:top w:val="nil"/>
              <w:left w:val="nil"/>
              <w:bottom w:val="nil"/>
              <w:right w:val="nil"/>
            </w:tcBorders>
            <w:shd w:val="clear" w:color="auto" w:fill="auto"/>
            <w:noWrap/>
            <w:vAlign w:val="center"/>
            <w:hideMark/>
          </w:tcPr>
          <w:p w14:paraId="26A5374B" w14:textId="77777777" w:rsidR="004337E6" w:rsidRPr="002812B0" w:rsidRDefault="004337E6" w:rsidP="008975E4">
            <w:pPr>
              <w:jc w:val="right"/>
              <w:rPr>
                <w:rFonts w:cstheme="minorHAnsi"/>
                <w:sz w:val="18"/>
                <w:szCs w:val="18"/>
              </w:rPr>
            </w:pPr>
            <w:r w:rsidRPr="002812B0">
              <w:rPr>
                <w:rFonts w:cstheme="minorHAnsi"/>
                <w:sz w:val="18"/>
                <w:szCs w:val="18"/>
              </w:rPr>
              <w:t>4.84</w:t>
            </w:r>
          </w:p>
        </w:tc>
        <w:tc>
          <w:tcPr>
            <w:tcW w:w="659" w:type="dxa"/>
            <w:gridSpan w:val="2"/>
            <w:tcBorders>
              <w:top w:val="nil"/>
              <w:left w:val="nil"/>
              <w:bottom w:val="nil"/>
              <w:right w:val="nil"/>
            </w:tcBorders>
            <w:shd w:val="clear" w:color="auto" w:fill="auto"/>
            <w:noWrap/>
            <w:vAlign w:val="center"/>
            <w:hideMark/>
          </w:tcPr>
          <w:p w14:paraId="2B470F8A" w14:textId="77777777" w:rsidR="004337E6" w:rsidRPr="002812B0" w:rsidRDefault="004337E6" w:rsidP="008975E4">
            <w:pPr>
              <w:jc w:val="right"/>
              <w:rPr>
                <w:rFonts w:cstheme="minorHAnsi"/>
                <w:sz w:val="18"/>
                <w:szCs w:val="18"/>
              </w:rPr>
            </w:pPr>
            <w:r w:rsidRPr="002812B0">
              <w:rPr>
                <w:rFonts w:cstheme="minorHAnsi"/>
                <w:sz w:val="18"/>
                <w:szCs w:val="18"/>
              </w:rPr>
              <w:t>5.86</w:t>
            </w:r>
          </w:p>
        </w:tc>
        <w:tc>
          <w:tcPr>
            <w:tcW w:w="854" w:type="dxa"/>
            <w:tcBorders>
              <w:top w:val="nil"/>
              <w:left w:val="nil"/>
              <w:bottom w:val="nil"/>
              <w:right w:val="nil"/>
            </w:tcBorders>
            <w:shd w:val="clear" w:color="auto" w:fill="auto"/>
            <w:noWrap/>
            <w:vAlign w:val="center"/>
            <w:hideMark/>
          </w:tcPr>
          <w:p w14:paraId="602BEC0F" w14:textId="77777777" w:rsidR="004337E6" w:rsidRPr="002812B0" w:rsidRDefault="004337E6" w:rsidP="008975E4">
            <w:pPr>
              <w:jc w:val="right"/>
              <w:rPr>
                <w:rFonts w:cstheme="minorHAnsi"/>
                <w:b/>
                <w:bCs/>
                <w:sz w:val="18"/>
                <w:szCs w:val="18"/>
              </w:rPr>
            </w:pPr>
            <w:r w:rsidRPr="002812B0">
              <w:rPr>
                <w:rFonts w:cstheme="minorHAnsi"/>
                <w:b/>
                <w:bCs/>
                <w:sz w:val="18"/>
                <w:szCs w:val="18"/>
              </w:rPr>
              <w:t>32.78</w:t>
            </w:r>
          </w:p>
        </w:tc>
        <w:tc>
          <w:tcPr>
            <w:tcW w:w="792" w:type="dxa"/>
            <w:tcBorders>
              <w:top w:val="nil"/>
              <w:left w:val="nil"/>
              <w:bottom w:val="nil"/>
              <w:right w:val="single" w:sz="4" w:space="0" w:color="auto"/>
            </w:tcBorders>
            <w:shd w:val="clear" w:color="auto" w:fill="auto"/>
            <w:noWrap/>
            <w:vAlign w:val="center"/>
            <w:hideMark/>
          </w:tcPr>
          <w:p w14:paraId="100BEDDE" w14:textId="77777777" w:rsidR="004337E6" w:rsidRPr="002812B0" w:rsidRDefault="004337E6" w:rsidP="008975E4">
            <w:pPr>
              <w:jc w:val="right"/>
              <w:rPr>
                <w:rFonts w:cstheme="minorHAnsi"/>
                <w:sz w:val="18"/>
                <w:szCs w:val="18"/>
              </w:rPr>
            </w:pPr>
            <w:r w:rsidRPr="002812B0">
              <w:rPr>
                <w:rFonts w:cstheme="minorHAnsi"/>
                <w:sz w:val="18"/>
                <w:szCs w:val="18"/>
              </w:rPr>
              <w:t>1.50</w:t>
            </w:r>
          </w:p>
        </w:tc>
      </w:tr>
      <w:tr w:rsidR="004337E6" w:rsidRPr="002812B0" w14:paraId="415D8564" w14:textId="77777777" w:rsidTr="008975E4">
        <w:trPr>
          <w:trHeight w:hRule="exact" w:val="284"/>
        </w:trPr>
        <w:tc>
          <w:tcPr>
            <w:tcW w:w="1452" w:type="dxa"/>
            <w:tcBorders>
              <w:top w:val="nil"/>
              <w:left w:val="single" w:sz="4" w:space="0" w:color="auto"/>
              <w:bottom w:val="nil"/>
              <w:right w:val="single" w:sz="4" w:space="0" w:color="auto"/>
            </w:tcBorders>
            <w:shd w:val="clear" w:color="auto" w:fill="auto"/>
            <w:noWrap/>
            <w:vAlign w:val="bottom"/>
            <w:hideMark/>
          </w:tcPr>
          <w:p w14:paraId="0A04521E" w14:textId="77777777" w:rsidR="004337E6" w:rsidRPr="002812B0" w:rsidRDefault="004337E6" w:rsidP="008975E4">
            <w:pPr>
              <w:rPr>
                <w:rFonts w:cstheme="minorHAnsi"/>
                <w:sz w:val="18"/>
                <w:szCs w:val="18"/>
              </w:rPr>
            </w:pPr>
            <w:r w:rsidRPr="002812B0">
              <w:rPr>
                <w:rFonts w:cstheme="minorHAnsi"/>
                <w:sz w:val="18"/>
                <w:szCs w:val="18"/>
              </w:rPr>
              <w:t>Poland</w:t>
            </w:r>
          </w:p>
        </w:tc>
        <w:tc>
          <w:tcPr>
            <w:tcW w:w="425" w:type="dxa"/>
            <w:tcBorders>
              <w:top w:val="nil"/>
              <w:left w:val="nil"/>
              <w:bottom w:val="nil"/>
              <w:right w:val="nil"/>
            </w:tcBorders>
            <w:shd w:val="clear" w:color="auto" w:fill="auto"/>
            <w:noWrap/>
            <w:vAlign w:val="bottom"/>
            <w:hideMark/>
          </w:tcPr>
          <w:p w14:paraId="62CEF88D" w14:textId="77777777" w:rsidR="004337E6" w:rsidRPr="002812B0" w:rsidRDefault="004337E6" w:rsidP="008975E4">
            <w:pPr>
              <w:ind w:right="-111"/>
              <w:jc w:val="left"/>
              <w:rPr>
                <w:rFonts w:cstheme="minorHAnsi"/>
                <w:sz w:val="18"/>
                <w:szCs w:val="18"/>
              </w:rPr>
            </w:pPr>
            <w:r w:rsidRPr="002812B0">
              <w:rPr>
                <w:rFonts w:cstheme="minorHAnsi"/>
                <w:sz w:val="18"/>
                <w:szCs w:val="18"/>
              </w:rPr>
              <w:t>PL</w:t>
            </w:r>
          </w:p>
        </w:tc>
        <w:tc>
          <w:tcPr>
            <w:tcW w:w="992" w:type="dxa"/>
            <w:gridSpan w:val="2"/>
            <w:tcBorders>
              <w:top w:val="nil"/>
              <w:left w:val="single" w:sz="4" w:space="0" w:color="auto"/>
              <w:bottom w:val="nil"/>
              <w:right w:val="nil"/>
            </w:tcBorders>
            <w:shd w:val="clear" w:color="auto" w:fill="auto"/>
            <w:noWrap/>
            <w:vAlign w:val="bottom"/>
            <w:hideMark/>
          </w:tcPr>
          <w:p w14:paraId="39222725" w14:textId="77777777" w:rsidR="004337E6" w:rsidRPr="002812B0" w:rsidRDefault="004337E6" w:rsidP="008975E4">
            <w:pPr>
              <w:jc w:val="right"/>
              <w:rPr>
                <w:rFonts w:cstheme="minorHAnsi"/>
                <w:sz w:val="18"/>
                <w:szCs w:val="18"/>
              </w:rPr>
            </w:pPr>
            <w:r w:rsidRPr="002812B0">
              <w:rPr>
                <w:rFonts w:cstheme="minorHAnsi"/>
                <w:sz w:val="18"/>
                <w:szCs w:val="18"/>
              </w:rPr>
              <w:t>61.66</w:t>
            </w:r>
          </w:p>
        </w:tc>
        <w:tc>
          <w:tcPr>
            <w:tcW w:w="992" w:type="dxa"/>
            <w:gridSpan w:val="2"/>
            <w:tcBorders>
              <w:top w:val="nil"/>
              <w:left w:val="nil"/>
              <w:bottom w:val="nil"/>
              <w:right w:val="nil"/>
            </w:tcBorders>
            <w:shd w:val="clear" w:color="auto" w:fill="auto"/>
            <w:noWrap/>
            <w:vAlign w:val="bottom"/>
            <w:hideMark/>
          </w:tcPr>
          <w:p w14:paraId="6E447BD3" w14:textId="77777777" w:rsidR="004337E6" w:rsidRPr="002812B0" w:rsidRDefault="004337E6" w:rsidP="008975E4">
            <w:pPr>
              <w:jc w:val="right"/>
              <w:rPr>
                <w:rFonts w:cstheme="minorHAnsi"/>
                <w:sz w:val="18"/>
                <w:szCs w:val="18"/>
              </w:rPr>
            </w:pPr>
            <w:r w:rsidRPr="002812B0">
              <w:rPr>
                <w:rFonts w:cstheme="minorHAnsi"/>
                <w:sz w:val="18"/>
                <w:szCs w:val="18"/>
              </w:rPr>
              <w:t>11.66</w:t>
            </w:r>
          </w:p>
        </w:tc>
        <w:tc>
          <w:tcPr>
            <w:tcW w:w="851" w:type="dxa"/>
            <w:gridSpan w:val="2"/>
            <w:tcBorders>
              <w:top w:val="nil"/>
              <w:left w:val="nil"/>
              <w:bottom w:val="nil"/>
              <w:right w:val="nil"/>
            </w:tcBorders>
            <w:shd w:val="clear" w:color="auto" w:fill="auto"/>
            <w:noWrap/>
            <w:vAlign w:val="bottom"/>
            <w:hideMark/>
          </w:tcPr>
          <w:p w14:paraId="544F2F22" w14:textId="77777777" w:rsidR="004337E6" w:rsidRPr="002812B0" w:rsidRDefault="004337E6" w:rsidP="008975E4">
            <w:pPr>
              <w:jc w:val="right"/>
              <w:rPr>
                <w:rFonts w:cstheme="minorHAnsi"/>
                <w:b/>
                <w:bCs/>
                <w:sz w:val="18"/>
                <w:szCs w:val="18"/>
              </w:rPr>
            </w:pPr>
            <w:r w:rsidRPr="002812B0">
              <w:rPr>
                <w:rFonts w:cstheme="minorHAnsi"/>
                <w:b/>
                <w:bCs/>
                <w:sz w:val="18"/>
                <w:szCs w:val="18"/>
              </w:rPr>
              <w:t>73.32</w:t>
            </w:r>
          </w:p>
        </w:tc>
        <w:tc>
          <w:tcPr>
            <w:tcW w:w="709" w:type="dxa"/>
            <w:gridSpan w:val="2"/>
            <w:tcBorders>
              <w:top w:val="nil"/>
              <w:left w:val="nil"/>
              <w:bottom w:val="nil"/>
              <w:right w:val="nil"/>
            </w:tcBorders>
            <w:shd w:val="clear" w:color="auto" w:fill="auto"/>
            <w:noWrap/>
            <w:vAlign w:val="bottom"/>
            <w:hideMark/>
          </w:tcPr>
          <w:p w14:paraId="7CD01153" w14:textId="77777777" w:rsidR="004337E6" w:rsidRPr="002812B0" w:rsidRDefault="004337E6" w:rsidP="008975E4">
            <w:pPr>
              <w:jc w:val="right"/>
              <w:rPr>
                <w:rFonts w:cstheme="minorHAnsi"/>
                <w:sz w:val="18"/>
                <w:szCs w:val="18"/>
              </w:rPr>
            </w:pPr>
            <w:r w:rsidRPr="002812B0">
              <w:rPr>
                <w:rFonts w:cstheme="minorHAnsi"/>
                <w:sz w:val="18"/>
                <w:szCs w:val="18"/>
              </w:rPr>
              <w:t>13.48</w:t>
            </w:r>
          </w:p>
        </w:tc>
        <w:tc>
          <w:tcPr>
            <w:tcW w:w="817" w:type="dxa"/>
            <w:gridSpan w:val="2"/>
            <w:tcBorders>
              <w:top w:val="nil"/>
              <w:left w:val="nil"/>
              <w:bottom w:val="nil"/>
              <w:right w:val="nil"/>
            </w:tcBorders>
            <w:shd w:val="clear" w:color="auto" w:fill="auto"/>
            <w:noWrap/>
            <w:vAlign w:val="bottom"/>
            <w:hideMark/>
          </w:tcPr>
          <w:p w14:paraId="5535A585" w14:textId="77777777" w:rsidR="004337E6" w:rsidRPr="002812B0" w:rsidRDefault="004337E6" w:rsidP="008975E4">
            <w:pPr>
              <w:jc w:val="right"/>
              <w:rPr>
                <w:rFonts w:cstheme="minorHAnsi"/>
                <w:sz w:val="18"/>
                <w:szCs w:val="18"/>
              </w:rPr>
            </w:pPr>
            <w:r w:rsidRPr="002812B0">
              <w:rPr>
                <w:rFonts w:cstheme="minorHAnsi"/>
                <w:sz w:val="18"/>
                <w:szCs w:val="18"/>
              </w:rPr>
              <w:t>8.76</w:t>
            </w:r>
          </w:p>
        </w:tc>
        <w:tc>
          <w:tcPr>
            <w:tcW w:w="659" w:type="dxa"/>
            <w:tcBorders>
              <w:top w:val="nil"/>
              <w:left w:val="nil"/>
              <w:bottom w:val="nil"/>
              <w:right w:val="nil"/>
            </w:tcBorders>
            <w:shd w:val="clear" w:color="auto" w:fill="auto"/>
            <w:noWrap/>
            <w:vAlign w:val="bottom"/>
            <w:hideMark/>
          </w:tcPr>
          <w:p w14:paraId="061BCFA3" w14:textId="77777777" w:rsidR="004337E6" w:rsidRPr="002812B0" w:rsidRDefault="004337E6" w:rsidP="008975E4">
            <w:pPr>
              <w:jc w:val="right"/>
              <w:rPr>
                <w:rFonts w:cstheme="minorHAnsi"/>
                <w:sz w:val="18"/>
                <w:szCs w:val="18"/>
              </w:rPr>
            </w:pPr>
            <w:r w:rsidRPr="002812B0">
              <w:rPr>
                <w:rFonts w:cstheme="minorHAnsi"/>
                <w:sz w:val="18"/>
                <w:szCs w:val="18"/>
              </w:rPr>
              <w:t>4.11</w:t>
            </w:r>
          </w:p>
        </w:tc>
        <w:tc>
          <w:tcPr>
            <w:tcW w:w="933" w:type="dxa"/>
            <w:gridSpan w:val="2"/>
            <w:tcBorders>
              <w:top w:val="nil"/>
              <w:left w:val="nil"/>
              <w:bottom w:val="nil"/>
              <w:right w:val="nil"/>
            </w:tcBorders>
            <w:shd w:val="clear" w:color="auto" w:fill="auto"/>
            <w:noWrap/>
            <w:vAlign w:val="bottom"/>
            <w:hideMark/>
          </w:tcPr>
          <w:p w14:paraId="73F95E67" w14:textId="77777777" w:rsidR="004337E6" w:rsidRPr="002812B0" w:rsidRDefault="004337E6" w:rsidP="008975E4">
            <w:pPr>
              <w:jc w:val="right"/>
              <w:rPr>
                <w:rFonts w:cstheme="minorHAnsi"/>
                <w:b/>
                <w:bCs/>
                <w:sz w:val="18"/>
                <w:szCs w:val="18"/>
              </w:rPr>
            </w:pPr>
            <w:r w:rsidRPr="002812B0">
              <w:rPr>
                <w:rFonts w:cstheme="minorHAnsi"/>
                <w:b/>
                <w:bCs/>
                <w:sz w:val="18"/>
                <w:szCs w:val="18"/>
              </w:rPr>
              <w:t>26.35</w:t>
            </w:r>
          </w:p>
        </w:tc>
        <w:tc>
          <w:tcPr>
            <w:tcW w:w="709" w:type="dxa"/>
            <w:tcBorders>
              <w:top w:val="nil"/>
              <w:left w:val="nil"/>
              <w:bottom w:val="nil"/>
              <w:right w:val="single" w:sz="4" w:space="0" w:color="auto"/>
            </w:tcBorders>
            <w:shd w:val="clear" w:color="auto" w:fill="auto"/>
            <w:noWrap/>
            <w:vAlign w:val="bottom"/>
            <w:hideMark/>
          </w:tcPr>
          <w:p w14:paraId="40A78C7B" w14:textId="77777777" w:rsidR="004337E6" w:rsidRPr="002812B0" w:rsidRDefault="004337E6" w:rsidP="008975E4">
            <w:pPr>
              <w:jc w:val="right"/>
              <w:rPr>
                <w:rFonts w:cstheme="minorHAnsi"/>
                <w:sz w:val="18"/>
                <w:szCs w:val="18"/>
              </w:rPr>
            </w:pPr>
            <w:r w:rsidRPr="002812B0">
              <w:rPr>
                <w:rFonts w:cstheme="minorHAnsi"/>
                <w:sz w:val="18"/>
                <w:szCs w:val="18"/>
              </w:rPr>
              <w:t>0.32</w:t>
            </w:r>
          </w:p>
        </w:tc>
        <w:tc>
          <w:tcPr>
            <w:tcW w:w="989" w:type="dxa"/>
            <w:gridSpan w:val="2"/>
            <w:tcBorders>
              <w:top w:val="nil"/>
              <w:left w:val="nil"/>
              <w:bottom w:val="nil"/>
              <w:right w:val="nil"/>
            </w:tcBorders>
            <w:shd w:val="clear" w:color="auto" w:fill="auto"/>
            <w:noWrap/>
            <w:vAlign w:val="center"/>
            <w:hideMark/>
          </w:tcPr>
          <w:p w14:paraId="76C51649" w14:textId="77777777" w:rsidR="004337E6" w:rsidRPr="002812B0" w:rsidRDefault="004337E6" w:rsidP="008975E4">
            <w:pPr>
              <w:jc w:val="right"/>
              <w:rPr>
                <w:rFonts w:cstheme="minorHAnsi"/>
                <w:sz w:val="18"/>
                <w:szCs w:val="18"/>
              </w:rPr>
            </w:pPr>
            <w:r w:rsidRPr="002812B0">
              <w:rPr>
                <w:rFonts w:cstheme="minorHAnsi"/>
                <w:sz w:val="18"/>
                <w:szCs w:val="18"/>
              </w:rPr>
              <w:t>66.38</w:t>
            </w:r>
          </w:p>
        </w:tc>
        <w:tc>
          <w:tcPr>
            <w:tcW w:w="894" w:type="dxa"/>
            <w:gridSpan w:val="2"/>
            <w:tcBorders>
              <w:top w:val="nil"/>
              <w:left w:val="nil"/>
              <w:bottom w:val="nil"/>
              <w:right w:val="nil"/>
            </w:tcBorders>
            <w:shd w:val="clear" w:color="auto" w:fill="auto"/>
            <w:noWrap/>
            <w:vAlign w:val="center"/>
            <w:hideMark/>
          </w:tcPr>
          <w:p w14:paraId="01F4D2ED" w14:textId="77777777" w:rsidR="004337E6" w:rsidRPr="002812B0" w:rsidRDefault="004337E6" w:rsidP="008975E4">
            <w:pPr>
              <w:jc w:val="right"/>
              <w:rPr>
                <w:rFonts w:cstheme="minorHAnsi"/>
                <w:sz w:val="18"/>
                <w:szCs w:val="18"/>
              </w:rPr>
            </w:pPr>
            <w:r w:rsidRPr="002812B0">
              <w:rPr>
                <w:rFonts w:cstheme="minorHAnsi"/>
                <w:sz w:val="18"/>
                <w:szCs w:val="18"/>
              </w:rPr>
              <w:t>10.66</w:t>
            </w:r>
          </w:p>
        </w:tc>
        <w:tc>
          <w:tcPr>
            <w:tcW w:w="690" w:type="dxa"/>
            <w:gridSpan w:val="2"/>
            <w:tcBorders>
              <w:top w:val="nil"/>
              <w:left w:val="nil"/>
              <w:bottom w:val="nil"/>
              <w:right w:val="nil"/>
            </w:tcBorders>
            <w:shd w:val="clear" w:color="auto" w:fill="auto"/>
            <w:noWrap/>
            <w:vAlign w:val="center"/>
            <w:hideMark/>
          </w:tcPr>
          <w:p w14:paraId="284C90DC" w14:textId="77777777" w:rsidR="004337E6" w:rsidRPr="002812B0" w:rsidRDefault="004337E6" w:rsidP="008975E4">
            <w:pPr>
              <w:jc w:val="right"/>
              <w:rPr>
                <w:rFonts w:cstheme="minorHAnsi"/>
                <w:b/>
                <w:bCs/>
                <w:sz w:val="18"/>
                <w:szCs w:val="18"/>
              </w:rPr>
            </w:pPr>
            <w:r w:rsidRPr="002812B0">
              <w:rPr>
                <w:rFonts w:cstheme="minorHAnsi"/>
                <w:b/>
                <w:bCs/>
                <w:sz w:val="18"/>
                <w:szCs w:val="18"/>
              </w:rPr>
              <w:t>77.04</w:t>
            </w:r>
          </w:p>
        </w:tc>
        <w:tc>
          <w:tcPr>
            <w:tcW w:w="974" w:type="dxa"/>
            <w:gridSpan w:val="2"/>
            <w:tcBorders>
              <w:top w:val="nil"/>
              <w:left w:val="nil"/>
              <w:bottom w:val="nil"/>
              <w:right w:val="nil"/>
            </w:tcBorders>
            <w:shd w:val="clear" w:color="auto" w:fill="auto"/>
            <w:noWrap/>
            <w:vAlign w:val="center"/>
            <w:hideMark/>
          </w:tcPr>
          <w:p w14:paraId="1C5E1BB2" w14:textId="77777777" w:rsidR="004337E6" w:rsidRPr="002812B0" w:rsidRDefault="004337E6" w:rsidP="008975E4">
            <w:pPr>
              <w:jc w:val="right"/>
              <w:rPr>
                <w:rFonts w:cstheme="minorHAnsi"/>
                <w:sz w:val="18"/>
                <w:szCs w:val="18"/>
              </w:rPr>
            </w:pPr>
            <w:r w:rsidRPr="002812B0">
              <w:rPr>
                <w:rFonts w:cstheme="minorHAnsi"/>
                <w:sz w:val="18"/>
                <w:szCs w:val="18"/>
              </w:rPr>
              <w:t>9.23</w:t>
            </w:r>
          </w:p>
        </w:tc>
        <w:tc>
          <w:tcPr>
            <w:tcW w:w="894" w:type="dxa"/>
            <w:gridSpan w:val="2"/>
            <w:tcBorders>
              <w:top w:val="nil"/>
              <w:left w:val="nil"/>
              <w:bottom w:val="nil"/>
              <w:right w:val="nil"/>
            </w:tcBorders>
            <w:shd w:val="clear" w:color="auto" w:fill="auto"/>
            <w:noWrap/>
            <w:vAlign w:val="center"/>
            <w:hideMark/>
          </w:tcPr>
          <w:p w14:paraId="615948FD" w14:textId="77777777" w:rsidR="004337E6" w:rsidRPr="002812B0" w:rsidRDefault="004337E6" w:rsidP="008975E4">
            <w:pPr>
              <w:jc w:val="right"/>
              <w:rPr>
                <w:rFonts w:cstheme="minorHAnsi"/>
                <w:sz w:val="18"/>
                <w:szCs w:val="18"/>
              </w:rPr>
            </w:pPr>
            <w:r w:rsidRPr="002812B0">
              <w:rPr>
                <w:rFonts w:cstheme="minorHAnsi"/>
                <w:sz w:val="18"/>
                <w:szCs w:val="18"/>
              </w:rPr>
              <w:t>9.54</w:t>
            </w:r>
          </w:p>
        </w:tc>
        <w:tc>
          <w:tcPr>
            <w:tcW w:w="659" w:type="dxa"/>
            <w:gridSpan w:val="2"/>
            <w:tcBorders>
              <w:top w:val="nil"/>
              <w:left w:val="nil"/>
              <w:bottom w:val="nil"/>
              <w:right w:val="nil"/>
            </w:tcBorders>
            <w:shd w:val="clear" w:color="auto" w:fill="auto"/>
            <w:noWrap/>
            <w:vAlign w:val="center"/>
            <w:hideMark/>
          </w:tcPr>
          <w:p w14:paraId="3951FD22" w14:textId="77777777" w:rsidR="004337E6" w:rsidRPr="002812B0" w:rsidRDefault="004337E6" w:rsidP="008975E4">
            <w:pPr>
              <w:jc w:val="right"/>
              <w:rPr>
                <w:rFonts w:cstheme="minorHAnsi"/>
                <w:sz w:val="18"/>
                <w:szCs w:val="18"/>
              </w:rPr>
            </w:pPr>
            <w:r w:rsidRPr="002812B0">
              <w:rPr>
                <w:rFonts w:cstheme="minorHAnsi"/>
                <w:sz w:val="18"/>
                <w:szCs w:val="18"/>
              </w:rPr>
              <w:t>4.06</w:t>
            </w:r>
          </w:p>
        </w:tc>
        <w:tc>
          <w:tcPr>
            <w:tcW w:w="854" w:type="dxa"/>
            <w:tcBorders>
              <w:top w:val="nil"/>
              <w:left w:val="nil"/>
              <w:bottom w:val="nil"/>
              <w:right w:val="nil"/>
            </w:tcBorders>
            <w:shd w:val="clear" w:color="auto" w:fill="auto"/>
            <w:noWrap/>
            <w:vAlign w:val="center"/>
            <w:hideMark/>
          </w:tcPr>
          <w:p w14:paraId="1968D86C" w14:textId="77777777" w:rsidR="004337E6" w:rsidRPr="002812B0" w:rsidRDefault="004337E6" w:rsidP="008975E4">
            <w:pPr>
              <w:jc w:val="right"/>
              <w:rPr>
                <w:rFonts w:cstheme="minorHAnsi"/>
                <w:b/>
                <w:bCs/>
                <w:sz w:val="18"/>
                <w:szCs w:val="18"/>
              </w:rPr>
            </w:pPr>
            <w:r w:rsidRPr="002812B0">
              <w:rPr>
                <w:rFonts w:cstheme="minorHAnsi"/>
                <w:b/>
                <w:bCs/>
                <w:sz w:val="18"/>
                <w:szCs w:val="18"/>
              </w:rPr>
              <w:t>22.83</w:t>
            </w:r>
          </w:p>
        </w:tc>
        <w:tc>
          <w:tcPr>
            <w:tcW w:w="792" w:type="dxa"/>
            <w:tcBorders>
              <w:top w:val="nil"/>
              <w:left w:val="nil"/>
              <w:bottom w:val="nil"/>
              <w:right w:val="single" w:sz="4" w:space="0" w:color="auto"/>
            </w:tcBorders>
            <w:shd w:val="clear" w:color="auto" w:fill="auto"/>
            <w:noWrap/>
            <w:vAlign w:val="center"/>
            <w:hideMark/>
          </w:tcPr>
          <w:p w14:paraId="66435D41" w14:textId="77777777" w:rsidR="004337E6" w:rsidRPr="002812B0" w:rsidRDefault="004337E6" w:rsidP="008975E4">
            <w:pPr>
              <w:jc w:val="right"/>
              <w:rPr>
                <w:rFonts w:cstheme="minorHAnsi"/>
                <w:sz w:val="18"/>
                <w:szCs w:val="18"/>
              </w:rPr>
            </w:pPr>
            <w:r w:rsidRPr="002812B0">
              <w:rPr>
                <w:rFonts w:cstheme="minorHAnsi"/>
                <w:sz w:val="18"/>
                <w:szCs w:val="18"/>
              </w:rPr>
              <w:t>0.13</w:t>
            </w:r>
          </w:p>
        </w:tc>
      </w:tr>
      <w:tr w:rsidR="004337E6" w:rsidRPr="002812B0" w14:paraId="16A075E4" w14:textId="77777777" w:rsidTr="008975E4">
        <w:trPr>
          <w:trHeight w:hRule="exact" w:val="284"/>
        </w:trPr>
        <w:tc>
          <w:tcPr>
            <w:tcW w:w="1452" w:type="dxa"/>
            <w:tcBorders>
              <w:top w:val="nil"/>
              <w:left w:val="single" w:sz="4" w:space="0" w:color="auto"/>
              <w:bottom w:val="nil"/>
              <w:right w:val="single" w:sz="4" w:space="0" w:color="auto"/>
            </w:tcBorders>
            <w:shd w:val="clear" w:color="auto" w:fill="auto"/>
            <w:noWrap/>
            <w:vAlign w:val="bottom"/>
            <w:hideMark/>
          </w:tcPr>
          <w:p w14:paraId="3BD3340E" w14:textId="77777777" w:rsidR="004337E6" w:rsidRPr="002812B0" w:rsidRDefault="004337E6" w:rsidP="008975E4">
            <w:pPr>
              <w:rPr>
                <w:rFonts w:cstheme="minorHAnsi"/>
                <w:sz w:val="18"/>
                <w:szCs w:val="18"/>
              </w:rPr>
            </w:pPr>
            <w:r w:rsidRPr="002812B0">
              <w:rPr>
                <w:rFonts w:cstheme="minorHAnsi"/>
                <w:sz w:val="18"/>
                <w:szCs w:val="18"/>
              </w:rPr>
              <w:t>Estonia</w:t>
            </w:r>
          </w:p>
        </w:tc>
        <w:tc>
          <w:tcPr>
            <w:tcW w:w="425" w:type="dxa"/>
            <w:tcBorders>
              <w:top w:val="nil"/>
              <w:left w:val="nil"/>
              <w:bottom w:val="nil"/>
              <w:right w:val="nil"/>
            </w:tcBorders>
            <w:shd w:val="clear" w:color="auto" w:fill="auto"/>
            <w:noWrap/>
            <w:vAlign w:val="bottom"/>
            <w:hideMark/>
          </w:tcPr>
          <w:p w14:paraId="3080D80D" w14:textId="77777777" w:rsidR="004337E6" w:rsidRPr="002812B0" w:rsidRDefault="004337E6" w:rsidP="008975E4">
            <w:pPr>
              <w:ind w:right="-111"/>
              <w:jc w:val="left"/>
              <w:rPr>
                <w:rFonts w:cstheme="minorHAnsi"/>
                <w:sz w:val="18"/>
                <w:szCs w:val="18"/>
              </w:rPr>
            </w:pPr>
            <w:r w:rsidRPr="002812B0">
              <w:rPr>
                <w:rFonts w:cstheme="minorHAnsi"/>
                <w:sz w:val="18"/>
                <w:szCs w:val="18"/>
              </w:rPr>
              <w:t>EE</w:t>
            </w:r>
          </w:p>
        </w:tc>
        <w:tc>
          <w:tcPr>
            <w:tcW w:w="992" w:type="dxa"/>
            <w:gridSpan w:val="2"/>
            <w:tcBorders>
              <w:top w:val="nil"/>
              <w:left w:val="single" w:sz="4" w:space="0" w:color="auto"/>
              <w:bottom w:val="nil"/>
              <w:right w:val="nil"/>
            </w:tcBorders>
            <w:shd w:val="clear" w:color="auto" w:fill="auto"/>
            <w:noWrap/>
            <w:vAlign w:val="bottom"/>
            <w:hideMark/>
          </w:tcPr>
          <w:p w14:paraId="59ED31D4" w14:textId="77777777" w:rsidR="004337E6" w:rsidRPr="002812B0" w:rsidRDefault="004337E6" w:rsidP="008975E4">
            <w:pPr>
              <w:jc w:val="right"/>
              <w:rPr>
                <w:rFonts w:cstheme="minorHAnsi"/>
                <w:sz w:val="18"/>
                <w:szCs w:val="18"/>
              </w:rPr>
            </w:pPr>
            <w:r w:rsidRPr="002812B0">
              <w:rPr>
                <w:rFonts w:cstheme="minorHAnsi"/>
                <w:sz w:val="18"/>
                <w:szCs w:val="18"/>
              </w:rPr>
              <w:t>62.39</w:t>
            </w:r>
          </w:p>
        </w:tc>
        <w:tc>
          <w:tcPr>
            <w:tcW w:w="992" w:type="dxa"/>
            <w:gridSpan w:val="2"/>
            <w:tcBorders>
              <w:top w:val="nil"/>
              <w:left w:val="nil"/>
              <w:bottom w:val="nil"/>
              <w:right w:val="nil"/>
            </w:tcBorders>
            <w:shd w:val="clear" w:color="auto" w:fill="auto"/>
            <w:noWrap/>
            <w:vAlign w:val="bottom"/>
            <w:hideMark/>
          </w:tcPr>
          <w:p w14:paraId="7B9D7A50" w14:textId="77777777" w:rsidR="004337E6" w:rsidRPr="002812B0" w:rsidRDefault="004337E6" w:rsidP="008975E4">
            <w:pPr>
              <w:jc w:val="right"/>
              <w:rPr>
                <w:rFonts w:cstheme="minorHAnsi"/>
                <w:sz w:val="18"/>
                <w:szCs w:val="18"/>
              </w:rPr>
            </w:pPr>
            <w:r w:rsidRPr="002812B0">
              <w:rPr>
                <w:rFonts w:cstheme="minorHAnsi"/>
                <w:sz w:val="18"/>
                <w:szCs w:val="18"/>
              </w:rPr>
              <w:t>11.69</w:t>
            </w:r>
          </w:p>
        </w:tc>
        <w:tc>
          <w:tcPr>
            <w:tcW w:w="851" w:type="dxa"/>
            <w:gridSpan w:val="2"/>
            <w:tcBorders>
              <w:top w:val="nil"/>
              <w:left w:val="nil"/>
              <w:bottom w:val="nil"/>
              <w:right w:val="nil"/>
            </w:tcBorders>
            <w:shd w:val="clear" w:color="auto" w:fill="auto"/>
            <w:noWrap/>
            <w:vAlign w:val="bottom"/>
            <w:hideMark/>
          </w:tcPr>
          <w:p w14:paraId="636A4945" w14:textId="77777777" w:rsidR="004337E6" w:rsidRPr="002812B0" w:rsidRDefault="004337E6" w:rsidP="008975E4">
            <w:pPr>
              <w:jc w:val="right"/>
              <w:rPr>
                <w:rFonts w:cstheme="minorHAnsi"/>
                <w:b/>
                <w:bCs/>
                <w:sz w:val="18"/>
                <w:szCs w:val="18"/>
              </w:rPr>
            </w:pPr>
            <w:r w:rsidRPr="002812B0">
              <w:rPr>
                <w:rFonts w:cstheme="minorHAnsi"/>
                <w:b/>
                <w:bCs/>
                <w:sz w:val="18"/>
                <w:szCs w:val="18"/>
              </w:rPr>
              <w:t>74.08</w:t>
            </w:r>
          </w:p>
        </w:tc>
        <w:tc>
          <w:tcPr>
            <w:tcW w:w="709" w:type="dxa"/>
            <w:gridSpan w:val="2"/>
            <w:tcBorders>
              <w:top w:val="nil"/>
              <w:left w:val="nil"/>
              <w:bottom w:val="nil"/>
              <w:right w:val="nil"/>
            </w:tcBorders>
            <w:shd w:val="clear" w:color="auto" w:fill="auto"/>
            <w:noWrap/>
            <w:vAlign w:val="bottom"/>
            <w:hideMark/>
          </w:tcPr>
          <w:p w14:paraId="7F89BFCB" w14:textId="77777777" w:rsidR="004337E6" w:rsidRPr="002812B0" w:rsidRDefault="004337E6" w:rsidP="008975E4">
            <w:pPr>
              <w:jc w:val="right"/>
              <w:rPr>
                <w:rFonts w:cstheme="minorHAnsi"/>
                <w:sz w:val="18"/>
                <w:szCs w:val="18"/>
              </w:rPr>
            </w:pPr>
            <w:r w:rsidRPr="002812B0">
              <w:rPr>
                <w:rFonts w:cstheme="minorHAnsi"/>
                <w:sz w:val="18"/>
                <w:szCs w:val="18"/>
              </w:rPr>
              <w:t>4.20</w:t>
            </w:r>
          </w:p>
        </w:tc>
        <w:tc>
          <w:tcPr>
            <w:tcW w:w="817" w:type="dxa"/>
            <w:gridSpan w:val="2"/>
            <w:tcBorders>
              <w:top w:val="nil"/>
              <w:left w:val="nil"/>
              <w:bottom w:val="nil"/>
              <w:right w:val="nil"/>
            </w:tcBorders>
            <w:shd w:val="clear" w:color="auto" w:fill="auto"/>
            <w:noWrap/>
            <w:vAlign w:val="bottom"/>
            <w:hideMark/>
          </w:tcPr>
          <w:p w14:paraId="628FC5E1" w14:textId="77777777" w:rsidR="004337E6" w:rsidRPr="002812B0" w:rsidRDefault="004337E6" w:rsidP="008975E4">
            <w:pPr>
              <w:jc w:val="right"/>
              <w:rPr>
                <w:rFonts w:cstheme="minorHAnsi"/>
                <w:sz w:val="18"/>
                <w:szCs w:val="18"/>
              </w:rPr>
            </w:pPr>
            <w:r w:rsidRPr="002812B0">
              <w:rPr>
                <w:rFonts w:cstheme="minorHAnsi"/>
                <w:sz w:val="18"/>
                <w:szCs w:val="18"/>
              </w:rPr>
              <w:t>17.78</w:t>
            </w:r>
          </w:p>
        </w:tc>
        <w:tc>
          <w:tcPr>
            <w:tcW w:w="659" w:type="dxa"/>
            <w:tcBorders>
              <w:top w:val="nil"/>
              <w:left w:val="nil"/>
              <w:bottom w:val="nil"/>
              <w:right w:val="nil"/>
            </w:tcBorders>
            <w:shd w:val="clear" w:color="auto" w:fill="auto"/>
            <w:noWrap/>
            <w:vAlign w:val="bottom"/>
            <w:hideMark/>
          </w:tcPr>
          <w:p w14:paraId="40A74199" w14:textId="77777777" w:rsidR="004337E6" w:rsidRPr="002812B0" w:rsidRDefault="004337E6" w:rsidP="008975E4">
            <w:pPr>
              <w:jc w:val="right"/>
              <w:rPr>
                <w:rFonts w:cstheme="minorHAnsi"/>
                <w:sz w:val="18"/>
                <w:szCs w:val="18"/>
              </w:rPr>
            </w:pPr>
            <w:r w:rsidRPr="002812B0">
              <w:rPr>
                <w:rFonts w:cstheme="minorHAnsi"/>
                <w:sz w:val="18"/>
                <w:szCs w:val="18"/>
              </w:rPr>
              <w:t>3.87</w:t>
            </w:r>
          </w:p>
        </w:tc>
        <w:tc>
          <w:tcPr>
            <w:tcW w:w="933" w:type="dxa"/>
            <w:gridSpan w:val="2"/>
            <w:tcBorders>
              <w:top w:val="nil"/>
              <w:left w:val="nil"/>
              <w:bottom w:val="nil"/>
              <w:right w:val="nil"/>
            </w:tcBorders>
            <w:shd w:val="clear" w:color="auto" w:fill="auto"/>
            <w:noWrap/>
            <w:vAlign w:val="bottom"/>
            <w:hideMark/>
          </w:tcPr>
          <w:p w14:paraId="6B8C63E5" w14:textId="77777777" w:rsidR="004337E6" w:rsidRPr="002812B0" w:rsidRDefault="004337E6" w:rsidP="008975E4">
            <w:pPr>
              <w:jc w:val="right"/>
              <w:rPr>
                <w:rFonts w:cstheme="minorHAnsi"/>
                <w:b/>
                <w:bCs/>
                <w:sz w:val="18"/>
                <w:szCs w:val="18"/>
              </w:rPr>
            </w:pPr>
            <w:r w:rsidRPr="002812B0">
              <w:rPr>
                <w:rFonts w:cstheme="minorHAnsi"/>
                <w:b/>
                <w:bCs/>
                <w:sz w:val="18"/>
                <w:szCs w:val="18"/>
              </w:rPr>
              <w:t>25.85</w:t>
            </w:r>
          </w:p>
        </w:tc>
        <w:tc>
          <w:tcPr>
            <w:tcW w:w="709" w:type="dxa"/>
            <w:tcBorders>
              <w:top w:val="nil"/>
              <w:left w:val="nil"/>
              <w:bottom w:val="nil"/>
              <w:right w:val="single" w:sz="4" w:space="0" w:color="auto"/>
            </w:tcBorders>
            <w:shd w:val="clear" w:color="auto" w:fill="auto"/>
            <w:noWrap/>
            <w:vAlign w:val="bottom"/>
            <w:hideMark/>
          </w:tcPr>
          <w:p w14:paraId="03E135D1" w14:textId="77777777" w:rsidR="004337E6" w:rsidRPr="002812B0" w:rsidRDefault="004337E6" w:rsidP="008975E4">
            <w:pPr>
              <w:jc w:val="right"/>
              <w:rPr>
                <w:rFonts w:cstheme="minorHAnsi"/>
                <w:sz w:val="18"/>
                <w:szCs w:val="18"/>
              </w:rPr>
            </w:pPr>
            <w:r w:rsidRPr="002812B0">
              <w:rPr>
                <w:rFonts w:cstheme="minorHAnsi"/>
                <w:sz w:val="18"/>
                <w:szCs w:val="18"/>
              </w:rPr>
              <w:t>0.08</w:t>
            </w:r>
          </w:p>
        </w:tc>
        <w:tc>
          <w:tcPr>
            <w:tcW w:w="989" w:type="dxa"/>
            <w:gridSpan w:val="2"/>
            <w:tcBorders>
              <w:top w:val="nil"/>
              <w:left w:val="nil"/>
              <w:bottom w:val="nil"/>
              <w:right w:val="nil"/>
            </w:tcBorders>
            <w:shd w:val="clear" w:color="auto" w:fill="auto"/>
            <w:noWrap/>
            <w:vAlign w:val="center"/>
            <w:hideMark/>
          </w:tcPr>
          <w:p w14:paraId="71DA3C82" w14:textId="77777777" w:rsidR="004337E6" w:rsidRPr="002812B0" w:rsidRDefault="004337E6" w:rsidP="008975E4">
            <w:pPr>
              <w:jc w:val="right"/>
              <w:rPr>
                <w:rFonts w:cstheme="minorHAnsi"/>
                <w:sz w:val="18"/>
                <w:szCs w:val="18"/>
              </w:rPr>
            </w:pPr>
            <w:r w:rsidRPr="002812B0">
              <w:rPr>
                <w:rFonts w:cstheme="minorHAnsi"/>
                <w:sz w:val="18"/>
                <w:szCs w:val="18"/>
              </w:rPr>
              <w:t>56.41</w:t>
            </w:r>
          </w:p>
        </w:tc>
        <w:tc>
          <w:tcPr>
            <w:tcW w:w="894" w:type="dxa"/>
            <w:gridSpan w:val="2"/>
            <w:tcBorders>
              <w:top w:val="nil"/>
              <w:left w:val="nil"/>
              <w:bottom w:val="nil"/>
              <w:right w:val="nil"/>
            </w:tcBorders>
            <w:shd w:val="clear" w:color="auto" w:fill="auto"/>
            <w:noWrap/>
            <w:vAlign w:val="center"/>
            <w:hideMark/>
          </w:tcPr>
          <w:p w14:paraId="5C504029" w14:textId="77777777" w:rsidR="004337E6" w:rsidRPr="002812B0" w:rsidRDefault="004337E6" w:rsidP="008975E4">
            <w:pPr>
              <w:jc w:val="right"/>
              <w:rPr>
                <w:rFonts w:cstheme="minorHAnsi"/>
                <w:sz w:val="18"/>
                <w:szCs w:val="18"/>
              </w:rPr>
            </w:pPr>
            <w:r w:rsidRPr="002812B0">
              <w:rPr>
                <w:rFonts w:cstheme="minorHAnsi"/>
                <w:sz w:val="18"/>
                <w:szCs w:val="18"/>
              </w:rPr>
              <w:t>14.16</w:t>
            </w:r>
          </w:p>
        </w:tc>
        <w:tc>
          <w:tcPr>
            <w:tcW w:w="690" w:type="dxa"/>
            <w:gridSpan w:val="2"/>
            <w:tcBorders>
              <w:top w:val="nil"/>
              <w:left w:val="nil"/>
              <w:bottom w:val="nil"/>
              <w:right w:val="nil"/>
            </w:tcBorders>
            <w:shd w:val="clear" w:color="auto" w:fill="auto"/>
            <w:noWrap/>
            <w:vAlign w:val="center"/>
            <w:hideMark/>
          </w:tcPr>
          <w:p w14:paraId="0DBA452E" w14:textId="77777777" w:rsidR="004337E6" w:rsidRPr="002812B0" w:rsidRDefault="004337E6" w:rsidP="008975E4">
            <w:pPr>
              <w:jc w:val="right"/>
              <w:rPr>
                <w:rFonts w:cstheme="minorHAnsi"/>
                <w:b/>
                <w:bCs/>
                <w:sz w:val="18"/>
                <w:szCs w:val="18"/>
              </w:rPr>
            </w:pPr>
            <w:r w:rsidRPr="002812B0">
              <w:rPr>
                <w:rFonts w:cstheme="minorHAnsi"/>
                <w:b/>
                <w:bCs/>
                <w:sz w:val="18"/>
                <w:szCs w:val="18"/>
              </w:rPr>
              <w:t>70.57</w:t>
            </w:r>
          </w:p>
        </w:tc>
        <w:tc>
          <w:tcPr>
            <w:tcW w:w="974" w:type="dxa"/>
            <w:gridSpan w:val="2"/>
            <w:tcBorders>
              <w:top w:val="nil"/>
              <w:left w:val="nil"/>
              <w:bottom w:val="nil"/>
              <w:right w:val="nil"/>
            </w:tcBorders>
            <w:shd w:val="clear" w:color="auto" w:fill="auto"/>
            <w:noWrap/>
            <w:vAlign w:val="center"/>
            <w:hideMark/>
          </w:tcPr>
          <w:p w14:paraId="3DFCB8D9" w14:textId="77777777" w:rsidR="004337E6" w:rsidRPr="002812B0" w:rsidRDefault="004337E6" w:rsidP="008975E4">
            <w:pPr>
              <w:jc w:val="right"/>
              <w:rPr>
                <w:rFonts w:cstheme="minorHAnsi"/>
                <w:sz w:val="18"/>
                <w:szCs w:val="18"/>
              </w:rPr>
            </w:pPr>
            <w:r w:rsidRPr="002812B0">
              <w:rPr>
                <w:rFonts w:cstheme="minorHAnsi"/>
                <w:sz w:val="18"/>
                <w:szCs w:val="18"/>
              </w:rPr>
              <w:t>11.23</w:t>
            </w:r>
          </w:p>
        </w:tc>
        <w:tc>
          <w:tcPr>
            <w:tcW w:w="894" w:type="dxa"/>
            <w:gridSpan w:val="2"/>
            <w:tcBorders>
              <w:top w:val="nil"/>
              <w:left w:val="nil"/>
              <w:bottom w:val="nil"/>
              <w:right w:val="nil"/>
            </w:tcBorders>
            <w:shd w:val="clear" w:color="auto" w:fill="auto"/>
            <w:noWrap/>
            <w:vAlign w:val="center"/>
            <w:hideMark/>
          </w:tcPr>
          <w:p w14:paraId="234C2D15" w14:textId="77777777" w:rsidR="004337E6" w:rsidRPr="002812B0" w:rsidRDefault="004337E6" w:rsidP="008975E4">
            <w:pPr>
              <w:jc w:val="right"/>
              <w:rPr>
                <w:rFonts w:cstheme="minorHAnsi"/>
                <w:sz w:val="18"/>
                <w:szCs w:val="18"/>
              </w:rPr>
            </w:pPr>
            <w:r w:rsidRPr="002812B0">
              <w:rPr>
                <w:rFonts w:cstheme="minorHAnsi"/>
                <w:sz w:val="18"/>
                <w:szCs w:val="18"/>
              </w:rPr>
              <w:t>12.58</w:t>
            </w:r>
          </w:p>
        </w:tc>
        <w:tc>
          <w:tcPr>
            <w:tcW w:w="659" w:type="dxa"/>
            <w:gridSpan w:val="2"/>
            <w:tcBorders>
              <w:top w:val="nil"/>
              <w:left w:val="nil"/>
              <w:bottom w:val="nil"/>
              <w:right w:val="nil"/>
            </w:tcBorders>
            <w:shd w:val="clear" w:color="auto" w:fill="auto"/>
            <w:noWrap/>
            <w:vAlign w:val="center"/>
            <w:hideMark/>
          </w:tcPr>
          <w:p w14:paraId="3C6A46B6" w14:textId="77777777" w:rsidR="004337E6" w:rsidRPr="002812B0" w:rsidRDefault="004337E6" w:rsidP="008975E4">
            <w:pPr>
              <w:jc w:val="right"/>
              <w:rPr>
                <w:rFonts w:cstheme="minorHAnsi"/>
                <w:sz w:val="18"/>
                <w:szCs w:val="18"/>
              </w:rPr>
            </w:pPr>
            <w:r w:rsidRPr="002812B0">
              <w:rPr>
                <w:rFonts w:cstheme="minorHAnsi"/>
                <w:sz w:val="18"/>
                <w:szCs w:val="18"/>
              </w:rPr>
              <w:t>4.88</w:t>
            </w:r>
          </w:p>
        </w:tc>
        <w:tc>
          <w:tcPr>
            <w:tcW w:w="854" w:type="dxa"/>
            <w:tcBorders>
              <w:top w:val="nil"/>
              <w:left w:val="nil"/>
              <w:bottom w:val="nil"/>
              <w:right w:val="nil"/>
            </w:tcBorders>
            <w:shd w:val="clear" w:color="auto" w:fill="auto"/>
            <w:noWrap/>
            <w:vAlign w:val="center"/>
            <w:hideMark/>
          </w:tcPr>
          <w:p w14:paraId="542783EA" w14:textId="77777777" w:rsidR="004337E6" w:rsidRPr="002812B0" w:rsidRDefault="004337E6" w:rsidP="008975E4">
            <w:pPr>
              <w:jc w:val="right"/>
              <w:rPr>
                <w:rFonts w:cstheme="minorHAnsi"/>
                <w:b/>
                <w:bCs/>
                <w:sz w:val="18"/>
                <w:szCs w:val="18"/>
              </w:rPr>
            </w:pPr>
            <w:r w:rsidRPr="002812B0">
              <w:rPr>
                <w:rFonts w:cstheme="minorHAnsi"/>
                <w:b/>
                <w:bCs/>
                <w:sz w:val="18"/>
                <w:szCs w:val="18"/>
              </w:rPr>
              <w:t>28.69</w:t>
            </w:r>
          </w:p>
        </w:tc>
        <w:tc>
          <w:tcPr>
            <w:tcW w:w="792" w:type="dxa"/>
            <w:tcBorders>
              <w:top w:val="nil"/>
              <w:left w:val="nil"/>
              <w:bottom w:val="nil"/>
              <w:right w:val="single" w:sz="4" w:space="0" w:color="auto"/>
            </w:tcBorders>
            <w:shd w:val="clear" w:color="auto" w:fill="auto"/>
            <w:noWrap/>
            <w:vAlign w:val="center"/>
            <w:hideMark/>
          </w:tcPr>
          <w:p w14:paraId="0AFC9302" w14:textId="77777777" w:rsidR="004337E6" w:rsidRPr="002812B0" w:rsidRDefault="004337E6" w:rsidP="008975E4">
            <w:pPr>
              <w:jc w:val="right"/>
              <w:rPr>
                <w:rFonts w:cstheme="minorHAnsi"/>
                <w:sz w:val="18"/>
                <w:szCs w:val="18"/>
              </w:rPr>
            </w:pPr>
            <w:r w:rsidRPr="002812B0">
              <w:rPr>
                <w:rFonts w:cstheme="minorHAnsi"/>
                <w:sz w:val="18"/>
                <w:szCs w:val="18"/>
              </w:rPr>
              <w:t>0.73</w:t>
            </w:r>
          </w:p>
        </w:tc>
      </w:tr>
      <w:tr w:rsidR="004337E6" w:rsidRPr="002812B0" w14:paraId="202E4FFE" w14:textId="77777777" w:rsidTr="008975E4">
        <w:trPr>
          <w:trHeight w:hRule="exact" w:val="284"/>
        </w:trPr>
        <w:tc>
          <w:tcPr>
            <w:tcW w:w="1452" w:type="dxa"/>
            <w:tcBorders>
              <w:top w:val="nil"/>
              <w:left w:val="single" w:sz="4" w:space="0" w:color="auto"/>
              <w:bottom w:val="nil"/>
              <w:right w:val="single" w:sz="4" w:space="0" w:color="auto"/>
            </w:tcBorders>
            <w:shd w:val="clear" w:color="auto" w:fill="auto"/>
            <w:noWrap/>
            <w:vAlign w:val="bottom"/>
            <w:hideMark/>
          </w:tcPr>
          <w:p w14:paraId="24D76E37" w14:textId="77777777" w:rsidR="004337E6" w:rsidRPr="002812B0" w:rsidRDefault="004337E6" w:rsidP="008975E4">
            <w:pPr>
              <w:rPr>
                <w:rFonts w:cstheme="minorHAnsi"/>
                <w:sz w:val="18"/>
                <w:szCs w:val="18"/>
              </w:rPr>
            </w:pPr>
            <w:r w:rsidRPr="002812B0">
              <w:rPr>
                <w:rFonts w:cstheme="minorHAnsi"/>
                <w:sz w:val="18"/>
                <w:szCs w:val="18"/>
              </w:rPr>
              <w:t>Hungary</w:t>
            </w:r>
          </w:p>
        </w:tc>
        <w:tc>
          <w:tcPr>
            <w:tcW w:w="425" w:type="dxa"/>
            <w:tcBorders>
              <w:top w:val="nil"/>
              <w:left w:val="nil"/>
              <w:bottom w:val="nil"/>
              <w:right w:val="nil"/>
            </w:tcBorders>
            <w:shd w:val="clear" w:color="auto" w:fill="auto"/>
            <w:noWrap/>
            <w:vAlign w:val="bottom"/>
            <w:hideMark/>
          </w:tcPr>
          <w:p w14:paraId="77AC0B45" w14:textId="77777777" w:rsidR="004337E6" w:rsidRPr="002812B0" w:rsidRDefault="004337E6" w:rsidP="008975E4">
            <w:pPr>
              <w:ind w:right="-111"/>
              <w:jc w:val="left"/>
              <w:rPr>
                <w:rFonts w:cstheme="minorHAnsi"/>
                <w:sz w:val="18"/>
                <w:szCs w:val="18"/>
              </w:rPr>
            </w:pPr>
            <w:r w:rsidRPr="002812B0">
              <w:rPr>
                <w:rFonts w:cstheme="minorHAnsi"/>
                <w:sz w:val="18"/>
                <w:szCs w:val="18"/>
              </w:rPr>
              <w:t>HU</w:t>
            </w:r>
          </w:p>
        </w:tc>
        <w:tc>
          <w:tcPr>
            <w:tcW w:w="992" w:type="dxa"/>
            <w:gridSpan w:val="2"/>
            <w:tcBorders>
              <w:top w:val="nil"/>
              <w:left w:val="single" w:sz="4" w:space="0" w:color="auto"/>
              <w:bottom w:val="nil"/>
              <w:right w:val="nil"/>
            </w:tcBorders>
            <w:shd w:val="clear" w:color="auto" w:fill="auto"/>
            <w:noWrap/>
            <w:vAlign w:val="bottom"/>
            <w:hideMark/>
          </w:tcPr>
          <w:p w14:paraId="1E39475C" w14:textId="77777777" w:rsidR="004337E6" w:rsidRPr="002812B0" w:rsidRDefault="004337E6" w:rsidP="008975E4">
            <w:pPr>
              <w:jc w:val="right"/>
              <w:rPr>
                <w:rFonts w:cstheme="minorHAnsi"/>
                <w:sz w:val="18"/>
                <w:szCs w:val="18"/>
              </w:rPr>
            </w:pPr>
            <w:r w:rsidRPr="002812B0">
              <w:rPr>
                <w:rFonts w:cstheme="minorHAnsi"/>
                <w:sz w:val="18"/>
                <w:szCs w:val="18"/>
              </w:rPr>
              <w:t>61.67</w:t>
            </w:r>
          </w:p>
        </w:tc>
        <w:tc>
          <w:tcPr>
            <w:tcW w:w="992" w:type="dxa"/>
            <w:gridSpan w:val="2"/>
            <w:tcBorders>
              <w:top w:val="nil"/>
              <w:left w:val="nil"/>
              <w:bottom w:val="nil"/>
              <w:right w:val="nil"/>
            </w:tcBorders>
            <w:shd w:val="clear" w:color="auto" w:fill="auto"/>
            <w:noWrap/>
            <w:vAlign w:val="bottom"/>
            <w:hideMark/>
          </w:tcPr>
          <w:p w14:paraId="1673607A" w14:textId="77777777" w:rsidR="004337E6" w:rsidRPr="002812B0" w:rsidRDefault="004337E6" w:rsidP="008975E4">
            <w:pPr>
              <w:jc w:val="right"/>
              <w:rPr>
                <w:rFonts w:cstheme="minorHAnsi"/>
                <w:sz w:val="18"/>
                <w:szCs w:val="18"/>
              </w:rPr>
            </w:pPr>
            <w:r w:rsidRPr="002812B0">
              <w:rPr>
                <w:rFonts w:cstheme="minorHAnsi"/>
                <w:sz w:val="18"/>
                <w:szCs w:val="18"/>
              </w:rPr>
              <w:t>13.26</w:t>
            </w:r>
          </w:p>
        </w:tc>
        <w:tc>
          <w:tcPr>
            <w:tcW w:w="851" w:type="dxa"/>
            <w:gridSpan w:val="2"/>
            <w:tcBorders>
              <w:top w:val="nil"/>
              <w:left w:val="nil"/>
              <w:bottom w:val="nil"/>
              <w:right w:val="nil"/>
            </w:tcBorders>
            <w:shd w:val="clear" w:color="auto" w:fill="auto"/>
            <w:noWrap/>
            <w:vAlign w:val="bottom"/>
            <w:hideMark/>
          </w:tcPr>
          <w:p w14:paraId="6348E9CE" w14:textId="77777777" w:rsidR="004337E6" w:rsidRPr="002812B0" w:rsidRDefault="004337E6" w:rsidP="008975E4">
            <w:pPr>
              <w:jc w:val="right"/>
              <w:rPr>
                <w:rFonts w:cstheme="minorHAnsi"/>
                <w:b/>
                <w:bCs/>
                <w:sz w:val="18"/>
                <w:szCs w:val="18"/>
              </w:rPr>
            </w:pPr>
            <w:r w:rsidRPr="002812B0">
              <w:rPr>
                <w:rFonts w:cstheme="minorHAnsi"/>
                <w:b/>
                <w:bCs/>
                <w:sz w:val="18"/>
                <w:szCs w:val="18"/>
              </w:rPr>
              <w:t>74.93</w:t>
            </w:r>
          </w:p>
        </w:tc>
        <w:tc>
          <w:tcPr>
            <w:tcW w:w="709" w:type="dxa"/>
            <w:gridSpan w:val="2"/>
            <w:tcBorders>
              <w:top w:val="nil"/>
              <w:left w:val="nil"/>
              <w:bottom w:val="nil"/>
              <w:right w:val="nil"/>
            </w:tcBorders>
            <w:shd w:val="clear" w:color="auto" w:fill="auto"/>
            <w:noWrap/>
            <w:vAlign w:val="bottom"/>
            <w:hideMark/>
          </w:tcPr>
          <w:p w14:paraId="7F3E7A98" w14:textId="77777777" w:rsidR="004337E6" w:rsidRPr="002812B0" w:rsidRDefault="004337E6" w:rsidP="008975E4">
            <w:pPr>
              <w:jc w:val="right"/>
              <w:rPr>
                <w:rFonts w:cstheme="minorHAnsi"/>
                <w:sz w:val="18"/>
                <w:szCs w:val="18"/>
              </w:rPr>
            </w:pPr>
            <w:r w:rsidRPr="002812B0">
              <w:rPr>
                <w:rFonts w:cstheme="minorHAnsi"/>
                <w:sz w:val="18"/>
                <w:szCs w:val="18"/>
              </w:rPr>
              <w:t>5.33</w:t>
            </w:r>
          </w:p>
        </w:tc>
        <w:tc>
          <w:tcPr>
            <w:tcW w:w="817" w:type="dxa"/>
            <w:gridSpan w:val="2"/>
            <w:tcBorders>
              <w:top w:val="nil"/>
              <w:left w:val="nil"/>
              <w:bottom w:val="nil"/>
              <w:right w:val="nil"/>
            </w:tcBorders>
            <w:shd w:val="clear" w:color="auto" w:fill="auto"/>
            <w:noWrap/>
            <w:vAlign w:val="bottom"/>
            <w:hideMark/>
          </w:tcPr>
          <w:p w14:paraId="1AF2159A" w14:textId="77777777" w:rsidR="004337E6" w:rsidRPr="002812B0" w:rsidRDefault="004337E6" w:rsidP="008975E4">
            <w:pPr>
              <w:jc w:val="right"/>
              <w:rPr>
                <w:rFonts w:cstheme="minorHAnsi"/>
                <w:sz w:val="18"/>
                <w:szCs w:val="18"/>
              </w:rPr>
            </w:pPr>
            <w:r w:rsidRPr="002812B0">
              <w:rPr>
                <w:rFonts w:cstheme="minorHAnsi"/>
                <w:sz w:val="18"/>
                <w:szCs w:val="18"/>
              </w:rPr>
              <w:t>16.21</w:t>
            </w:r>
          </w:p>
        </w:tc>
        <w:tc>
          <w:tcPr>
            <w:tcW w:w="659" w:type="dxa"/>
            <w:tcBorders>
              <w:top w:val="nil"/>
              <w:left w:val="nil"/>
              <w:bottom w:val="nil"/>
              <w:right w:val="nil"/>
            </w:tcBorders>
            <w:shd w:val="clear" w:color="auto" w:fill="auto"/>
            <w:noWrap/>
            <w:vAlign w:val="bottom"/>
            <w:hideMark/>
          </w:tcPr>
          <w:p w14:paraId="54337C80" w14:textId="77777777" w:rsidR="004337E6" w:rsidRPr="002812B0" w:rsidRDefault="004337E6" w:rsidP="008975E4">
            <w:pPr>
              <w:jc w:val="right"/>
              <w:rPr>
                <w:rFonts w:cstheme="minorHAnsi"/>
                <w:sz w:val="18"/>
                <w:szCs w:val="18"/>
              </w:rPr>
            </w:pPr>
            <w:r w:rsidRPr="002812B0">
              <w:rPr>
                <w:rFonts w:cstheme="minorHAnsi"/>
                <w:sz w:val="18"/>
                <w:szCs w:val="18"/>
              </w:rPr>
              <w:t>3.39</w:t>
            </w:r>
          </w:p>
        </w:tc>
        <w:tc>
          <w:tcPr>
            <w:tcW w:w="933" w:type="dxa"/>
            <w:gridSpan w:val="2"/>
            <w:tcBorders>
              <w:top w:val="nil"/>
              <w:left w:val="nil"/>
              <w:bottom w:val="nil"/>
              <w:right w:val="nil"/>
            </w:tcBorders>
            <w:shd w:val="clear" w:color="auto" w:fill="auto"/>
            <w:noWrap/>
            <w:vAlign w:val="bottom"/>
            <w:hideMark/>
          </w:tcPr>
          <w:p w14:paraId="563C263F" w14:textId="77777777" w:rsidR="004337E6" w:rsidRPr="002812B0" w:rsidRDefault="004337E6" w:rsidP="008975E4">
            <w:pPr>
              <w:jc w:val="right"/>
              <w:rPr>
                <w:rFonts w:cstheme="minorHAnsi"/>
                <w:b/>
                <w:bCs/>
                <w:sz w:val="18"/>
                <w:szCs w:val="18"/>
              </w:rPr>
            </w:pPr>
            <w:r w:rsidRPr="002812B0">
              <w:rPr>
                <w:rFonts w:cstheme="minorHAnsi"/>
                <w:b/>
                <w:bCs/>
                <w:sz w:val="18"/>
                <w:szCs w:val="18"/>
              </w:rPr>
              <w:t>24.93</w:t>
            </w:r>
          </w:p>
        </w:tc>
        <w:tc>
          <w:tcPr>
            <w:tcW w:w="709" w:type="dxa"/>
            <w:tcBorders>
              <w:top w:val="nil"/>
              <w:left w:val="nil"/>
              <w:bottom w:val="nil"/>
              <w:right w:val="single" w:sz="4" w:space="0" w:color="auto"/>
            </w:tcBorders>
            <w:shd w:val="clear" w:color="auto" w:fill="auto"/>
            <w:noWrap/>
            <w:vAlign w:val="bottom"/>
            <w:hideMark/>
          </w:tcPr>
          <w:p w14:paraId="5C94205E" w14:textId="77777777" w:rsidR="004337E6" w:rsidRPr="002812B0" w:rsidRDefault="004337E6" w:rsidP="008975E4">
            <w:pPr>
              <w:jc w:val="right"/>
              <w:rPr>
                <w:rFonts w:cstheme="minorHAnsi"/>
                <w:sz w:val="18"/>
                <w:szCs w:val="18"/>
              </w:rPr>
            </w:pPr>
            <w:r w:rsidRPr="002812B0">
              <w:rPr>
                <w:rFonts w:cstheme="minorHAnsi"/>
                <w:sz w:val="18"/>
                <w:szCs w:val="18"/>
              </w:rPr>
              <w:t>0.14</w:t>
            </w:r>
          </w:p>
        </w:tc>
        <w:tc>
          <w:tcPr>
            <w:tcW w:w="989" w:type="dxa"/>
            <w:gridSpan w:val="2"/>
            <w:tcBorders>
              <w:top w:val="nil"/>
              <w:left w:val="nil"/>
              <w:bottom w:val="nil"/>
              <w:right w:val="nil"/>
            </w:tcBorders>
            <w:shd w:val="clear" w:color="auto" w:fill="auto"/>
            <w:noWrap/>
            <w:vAlign w:val="center"/>
            <w:hideMark/>
          </w:tcPr>
          <w:p w14:paraId="39AA9C0D" w14:textId="77777777" w:rsidR="004337E6" w:rsidRPr="002812B0" w:rsidRDefault="004337E6" w:rsidP="008975E4">
            <w:pPr>
              <w:jc w:val="right"/>
              <w:rPr>
                <w:rFonts w:cstheme="minorHAnsi"/>
                <w:sz w:val="18"/>
                <w:szCs w:val="18"/>
              </w:rPr>
            </w:pPr>
            <w:r w:rsidRPr="002812B0">
              <w:rPr>
                <w:rFonts w:cstheme="minorHAnsi"/>
                <w:sz w:val="18"/>
                <w:szCs w:val="18"/>
              </w:rPr>
              <w:t>57.20</w:t>
            </w:r>
          </w:p>
        </w:tc>
        <w:tc>
          <w:tcPr>
            <w:tcW w:w="894" w:type="dxa"/>
            <w:gridSpan w:val="2"/>
            <w:tcBorders>
              <w:top w:val="nil"/>
              <w:left w:val="nil"/>
              <w:bottom w:val="nil"/>
              <w:right w:val="nil"/>
            </w:tcBorders>
            <w:shd w:val="clear" w:color="auto" w:fill="auto"/>
            <w:noWrap/>
            <w:vAlign w:val="center"/>
            <w:hideMark/>
          </w:tcPr>
          <w:p w14:paraId="613179C2" w14:textId="77777777" w:rsidR="004337E6" w:rsidRPr="002812B0" w:rsidRDefault="004337E6" w:rsidP="008975E4">
            <w:pPr>
              <w:jc w:val="right"/>
              <w:rPr>
                <w:rFonts w:cstheme="minorHAnsi"/>
                <w:sz w:val="18"/>
                <w:szCs w:val="18"/>
              </w:rPr>
            </w:pPr>
            <w:r w:rsidRPr="002812B0">
              <w:rPr>
                <w:rFonts w:cstheme="minorHAnsi"/>
                <w:sz w:val="18"/>
                <w:szCs w:val="18"/>
              </w:rPr>
              <w:t>11.78</w:t>
            </w:r>
          </w:p>
        </w:tc>
        <w:tc>
          <w:tcPr>
            <w:tcW w:w="690" w:type="dxa"/>
            <w:gridSpan w:val="2"/>
            <w:tcBorders>
              <w:top w:val="nil"/>
              <w:left w:val="nil"/>
              <w:bottom w:val="nil"/>
              <w:right w:val="nil"/>
            </w:tcBorders>
            <w:shd w:val="clear" w:color="auto" w:fill="auto"/>
            <w:noWrap/>
            <w:vAlign w:val="center"/>
            <w:hideMark/>
          </w:tcPr>
          <w:p w14:paraId="4218FBEA" w14:textId="77777777" w:rsidR="004337E6" w:rsidRPr="002812B0" w:rsidRDefault="004337E6" w:rsidP="008975E4">
            <w:pPr>
              <w:jc w:val="right"/>
              <w:rPr>
                <w:rFonts w:cstheme="minorHAnsi"/>
                <w:b/>
                <w:bCs/>
                <w:sz w:val="18"/>
                <w:szCs w:val="18"/>
              </w:rPr>
            </w:pPr>
            <w:r w:rsidRPr="002812B0">
              <w:rPr>
                <w:rFonts w:cstheme="minorHAnsi"/>
                <w:b/>
                <w:bCs/>
                <w:sz w:val="18"/>
                <w:szCs w:val="18"/>
              </w:rPr>
              <w:t>68.98</w:t>
            </w:r>
          </w:p>
        </w:tc>
        <w:tc>
          <w:tcPr>
            <w:tcW w:w="974" w:type="dxa"/>
            <w:gridSpan w:val="2"/>
            <w:tcBorders>
              <w:top w:val="nil"/>
              <w:left w:val="nil"/>
              <w:bottom w:val="nil"/>
              <w:right w:val="nil"/>
            </w:tcBorders>
            <w:shd w:val="clear" w:color="auto" w:fill="auto"/>
            <w:noWrap/>
            <w:vAlign w:val="center"/>
            <w:hideMark/>
          </w:tcPr>
          <w:p w14:paraId="53852430" w14:textId="77777777" w:rsidR="004337E6" w:rsidRPr="002812B0" w:rsidRDefault="004337E6" w:rsidP="008975E4">
            <w:pPr>
              <w:jc w:val="right"/>
              <w:rPr>
                <w:rFonts w:cstheme="minorHAnsi"/>
                <w:sz w:val="18"/>
                <w:szCs w:val="18"/>
              </w:rPr>
            </w:pPr>
            <w:r w:rsidRPr="002812B0">
              <w:rPr>
                <w:rFonts w:cstheme="minorHAnsi"/>
                <w:sz w:val="18"/>
                <w:szCs w:val="18"/>
              </w:rPr>
              <w:t>8.58</w:t>
            </w:r>
          </w:p>
        </w:tc>
        <w:tc>
          <w:tcPr>
            <w:tcW w:w="894" w:type="dxa"/>
            <w:gridSpan w:val="2"/>
            <w:tcBorders>
              <w:top w:val="nil"/>
              <w:left w:val="nil"/>
              <w:bottom w:val="nil"/>
              <w:right w:val="nil"/>
            </w:tcBorders>
            <w:shd w:val="clear" w:color="auto" w:fill="auto"/>
            <w:noWrap/>
            <w:vAlign w:val="center"/>
            <w:hideMark/>
          </w:tcPr>
          <w:p w14:paraId="35CA19A8" w14:textId="77777777" w:rsidR="004337E6" w:rsidRPr="002812B0" w:rsidRDefault="004337E6" w:rsidP="008975E4">
            <w:pPr>
              <w:jc w:val="right"/>
              <w:rPr>
                <w:rFonts w:cstheme="minorHAnsi"/>
                <w:sz w:val="18"/>
                <w:szCs w:val="18"/>
              </w:rPr>
            </w:pPr>
            <w:r w:rsidRPr="002812B0">
              <w:rPr>
                <w:rFonts w:cstheme="minorHAnsi"/>
                <w:sz w:val="18"/>
                <w:szCs w:val="18"/>
              </w:rPr>
              <w:t>14.72</w:t>
            </w:r>
          </w:p>
        </w:tc>
        <w:tc>
          <w:tcPr>
            <w:tcW w:w="659" w:type="dxa"/>
            <w:gridSpan w:val="2"/>
            <w:tcBorders>
              <w:top w:val="nil"/>
              <w:left w:val="nil"/>
              <w:bottom w:val="nil"/>
              <w:right w:val="nil"/>
            </w:tcBorders>
            <w:shd w:val="clear" w:color="auto" w:fill="auto"/>
            <w:noWrap/>
            <w:vAlign w:val="center"/>
            <w:hideMark/>
          </w:tcPr>
          <w:p w14:paraId="2547222B" w14:textId="77777777" w:rsidR="004337E6" w:rsidRPr="002812B0" w:rsidRDefault="004337E6" w:rsidP="008975E4">
            <w:pPr>
              <w:jc w:val="right"/>
              <w:rPr>
                <w:rFonts w:cstheme="minorHAnsi"/>
                <w:sz w:val="18"/>
                <w:szCs w:val="18"/>
              </w:rPr>
            </w:pPr>
            <w:r w:rsidRPr="002812B0">
              <w:rPr>
                <w:rFonts w:cstheme="minorHAnsi"/>
                <w:sz w:val="18"/>
                <w:szCs w:val="18"/>
              </w:rPr>
              <w:t>7.22</w:t>
            </w:r>
          </w:p>
        </w:tc>
        <w:tc>
          <w:tcPr>
            <w:tcW w:w="854" w:type="dxa"/>
            <w:tcBorders>
              <w:top w:val="nil"/>
              <w:left w:val="nil"/>
              <w:bottom w:val="nil"/>
              <w:right w:val="nil"/>
            </w:tcBorders>
            <w:shd w:val="clear" w:color="auto" w:fill="auto"/>
            <w:noWrap/>
            <w:vAlign w:val="center"/>
            <w:hideMark/>
          </w:tcPr>
          <w:p w14:paraId="34F680D2" w14:textId="77777777" w:rsidR="004337E6" w:rsidRPr="002812B0" w:rsidRDefault="004337E6" w:rsidP="008975E4">
            <w:pPr>
              <w:jc w:val="right"/>
              <w:rPr>
                <w:rFonts w:cstheme="minorHAnsi"/>
                <w:b/>
                <w:bCs/>
                <w:sz w:val="18"/>
                <w:szCs w:val="18"/>
              </w:rPr>
            </w:pPr>
            <w:r w:rsidRPr="002812B0">
              <w:rPr>
                <w:rFonts w:cstheme="minorHAnsi"/>
                <w:b/>
                <w:bCs/>
                <w:sz w:val="18"/>
                <w:szCs w:val="18"/>
              </w:rPr>
              <w:t>30.52</w:t>
            </w:r>
          </w:p>
        </w:tc>
        <w:tc>
          <w:tcPr>
            <w:tcW w:w="792" w:type="dxa"/>
            <w:tcBorders>
              <w:top w:val="nil"/>
              <w:left w:val="nil"/>
              <w:bottom w:val="nil"/>
              <w:right w:val="single" w:sz="4" w:space="0" w:color="auto"/>
            </w:tcBorders>
            <w:shd w:val="clear" w:color="auto" w:fill="auto"/>
            <w:noWrap/>
            <w:vAlign w:val="center"/>
            <w:hideMark/>
          </w:tcPr>
          <w:p w14:paraId="6FB8D0C7" w14:textId="77777777" w:rsidR="004337E6" w:rsidRPr="002812B0" w:rsidRDefault="004337E6" w:rsidP="008975E4">
            <w:pPr>
              <w:jc w:val="right"/>
              <w:rPr>
                <w:rFonts w:cstheme="minorHAnsi"/>
                <w:sz w:val="18"/>
                <w:szCs w:val="18"/>
              </w:rPr>
            </w:pPr>
            <w:r w:rsidRPr="002812B0">
              <w:rPr>
                <w:rFonts w:cstheme="minorHAnsi"/>
                <w:sz w:val="18"/>
                <w:szCs w:val="18"/>
              </w:rPr>
              <w:t>0.50</w:t>
            </w:r>
          </w:p>
        </w:tc>
      </w:tr>
      <w:tr w:rsidR="004337E6" w:rsidRPr="002812B0" w14:paraId="2F422CEF" w14:textId="77777777" w:rsidTr="008975E4">
        <w:trPr>
          <w:trHeight w:hRule="exact" w:val="284"/>
        </w:trPr>
        <w:tc>
          <w:tcPr>
            <w:tcW w:w="1452" w:type="dxa"/>
            <w:tcBorders>
              <w:top w:val="nil"/>
              <w:left w:val="single" w:sz="4" w:space="0" w:color="auto"/>
              <w:bottom w:val="nil"/>
              <w:right w:val="single" w:sz="4" w:space="0" w:color="auto"/>
            </w:tcBorders>
            <w:shd w:val="clear" w:color="auto" w:fill="auto"/>
            <w:noWrap/>
            <w:vAlign w:val="bottom"/>
            <w:hideMark/>
          </w:tcPr>
          <w:p w14:paraId="2BBF73C1" w14:textId="77777777" w:rsidR="004337E6" w:rsidRPr="002812B0" w:rsidRDefault="004337E6" w:rsidP="008975E4">
            <w:pPr>
              <w:rPr>
                <w:rFonts w:cstheme="minorHAnsi"/>
                <w:sz w:val="18"/>
                <w:szCs w:val="18"/>
              </w:rPr>
            </w:pPr>
            <w:r w:rsidRPr="002812B0">
              <w:rPr>
                <w:rFonts w:cstheme="minorHAnsi"/>
                <w:sz w:val="18"/>
                <w:szCs w:val="18"/>
              </w:rPr>
              <w:t>Greece</w:t>
            </w:r>
          </w:p>
        </w:tc>
        <w:tc>
          <w:tcPr>
            <w:tcW w:w="425" w:type="dxa"/>
            <w:tcBorders>
              <w:top w:val="nil"/>
              <w:left w:val="nil"/>
              <w:bottom w:val="nil"/>
              <w:right w:val="nil"/>
            </w:tcBorders>
            <w:shd w:val="clear" w:color="auto" w:fill="auto"/>
            <w:noWrap/>
            <w:vAlign w:val="bottom"/>
            <w:hideMark/>
          </w:tcPr>
          <w:p w14:paraId="6AC87A98" w14:textId="77777777" w:rsidR="004337E6" w:rsidRPr="002812B0" w:rsidRDefault="004337E6" w:rsidP="008975E4">
            <w:pPr>
              <w:ind w:right="-111"/>
              <w:jc w:val="left"/>
              <w:rPr>
                <w:rFonts w:cstheme="minorHAnsi"/>
                <w:sz w:val="18"/>
                <w:szCs w:val="18"/>
              </w:rPr>
            </w:pPr>
            <w:r w:rsidRPr="002812B0">
              <w:rPr>
                <w:rFonts w:cstheme="minorHAnsi"/>
                <w:sz w:val="18"/>
                <w:szCs w:val="18"/>
              </w:rPr>
              <w:t>EL</w:t>
            </w:r>
          </w:p>
        </w:tc>
        <w:tc>
          <w:tcPr>
            <w:tcW w:w="992" w:type="dxa"/>
            <w:gridSpan w:val="2"/>
            <w:tcBorders>
              <w:top w:val="nil"/>
              <w:left w:val="single" w:sz="4" w:space="0" w:color="auto"/>
              <w:bottom w:val="nil"/>
              <w:right w:val="nil"/>
            </w:tcBorders>
            <w:shd w:val="clear" w:color="auto" w:fill="auto"/>
            <w:noWrap/>
            <w:vAlign w:val="bottom"/>
            <w:hideMark/>
          </w:tcPr>
          <w:p w14:paraId="2813FE00" w14:textId="77777777" w:rsidR="004337E6" w:rsidRPr="002812B0" w:rsidRDefault="004337E6" w:rsidP="008975E4">
            <w:pPr>
              <w:jc w:val="right"/>
              <w:rPr>
                <w:rFonts w:cstheme="minorHAnsi"/>
                <w:sz w:val="18"/>
                <w:szCs w:val="18"/>
              </w:rPr>
            </w:pPr>
            <w:r w:rsidRPr="002812B0">
              <w:rPr>
                <w:rFonts w:cstheme="minorHAnsi"/>
                <w:sz w:val="18"/>
                <w:szCs w:val="18"/>
              </w:rPr>
              <w:t>61.63</w:t>
            </w:r>
          </w:p>
        </w:tc>
        <w:tc>
          <w:tcPr>
            <w:tcW w:w="992" w:type="dxa"/>
            <w:gridSpan w:val="2"/>
            <w:tcBorders>
              <w:top w:val="nil"/>
              <w:left w:val="nil"/>
              <w:bottom w:val="nil"/>
              <w:right w:val="nil"/>
            </w:tcBorders>
            <w:shd w:val="clear" w:color="auto" w:fill="auto"/>
            <w:noWrap/>
            <w:vAlign w:val="bottom"/>
            <w:hideMark/>
          </w:tcPr>
          <w:p w14:paraId="22040551" w14:textId="77777777" w:rsidR="004337E6" w:rsidRPr="002812B0" w:rsidRDefault="004337E6" w:rsidP="008975E4">
            <w:pPr>
              <w:jc w:val="right"/>
              <w:rPr>
                <w:rFonts w:cstheme="minorHAnsi"/>
                <w:sz w:val="18"/>
                <w:szCs w:val="18"/>
              </w:rPr>
            </w:pPr>
            <w:r w:rsidRPr="002812B0">
              <w:rPr>
                <w:rFonts w:cstheme="minorHAnsi"/>
                <w:sz w:val="18"/>
                <w:szCs w:val="18"/>
              </w:rPr>
              <w:t>13.29</w:t>
            </w:r>
          </w:p>
        </w:tc>
        <w:tc>
          <w:tcPr>
            <w:tcW w:w="851" w:type="dxa"/>
            <w:gridSpan w:val="2"/>
            <w:tcBorders>
              <w:top w:val="nil"/>
              <w:left w:val="nil"/>
              <w:bottom w:val="nil"/>
              <w:right w:val="nil"/>
            </w:tcBorders>
            <w:shd w:val="clear" w:color="auto" w:fill="auto"/>
            <w:noWrap/>
            <w:vAlign w:val="bottom"/>
            <w:hideMark/>
          </w:tcPr>
          <w:p w14:paraId="0F4CBA90" w14:textId="77777777" w:rsidR="004337E6" w:rsidRPr="002812B0" w:rsidRDefault="004337E6" w:rsidP="008975E4">
            <w:pPr>
              <w:jc w:val="right"/>
              <w:rPr>
                <w:rFonts w:cstheme="minorHAnsi"/>
                <w:b/>
                <w:bCs/>
                <w:sz w:val="18"/>
                <w:szCs w:val="18"/>
              </w:rPr>
            </w:pPr>
            <w:r w:rsidRPr="002812B0">
              <w:rPr>
                <w:rFonts w:cstheme="minorHAnsi"/>
                <w:b/>
                <w:bCs/>
                <w:sz w:val="18"/>
                <w:szCs w:val="18"/>
              </w:rPr>
              <w:t>74.92</w:t>
            </w:r>
          </w:p>
        </w:tc>
        <w:tc>
          <w:tcPr>
            <w:tcW w:w="709" w:type="dxa"/>
            <w:gridSpan w:val="2"/>
            <w:tcBorders>
              <w:top w:val="nil"/>
              <w:left w:val="nil"/>
              <w:bottom w:val="nil"/>
              <w:right w:val="nil"/>
            </w:tcBorders>
            <w:shd w:val="clear" w:color="auto" w:fill="auto"/>
            <w:noWrap/>
            <w:vAlign w:val="bottom"/>
            <w:hideMark/>
          </w:tcPr>
          <w:p w14:paraId="0D9DDA64" w14:textId="77777777" w:rsidR="004337E6" w:rsidRPr="002812B0" w:rsidRDefault="004337E6" w:rsidP="008975E4">
            <w:pPr>
              <w:jc w:val="right"/>
              <w:rPr>
                <w:rFonts w:cstheme="minorHAnsi"/>
                <w:sz w:val="18"/>
                <w:szCs w:val="18"/>
              </w:rPr>
            </w:pPr>
            <w:r w:rsidRPr="002812B0">
              <w:rPr>
                <w:rFonts w:cstheme="minorHAnsi"/>
                <w:sz w:val="18"/>
                <w:szCs w:val="18"/>
              </w:rPr>
              <w:t>12.54</w:t>
            </w:r>
          </w:p>
        </w:tc>
        <w:tc>
          <w:tcPr>
            <w:tcW w:w="817" w:type="dxa"/>
            <w:gridSpan w:val="2"/>
            <w:tcBorders>
              <w:top w:val="nil"/>
              <w:left w:val="nil"/>
              <w:bottom w:val="nil"/>
              <w:right w:val="nil"/>
            </w:tcBorders>
            <w:shd w:val="clear" w:color="auto" w:fill="auto"/>
            <w:noWrap/>
            <w:vAlign w:val="bottom"/>
            <w:hideMark/>
          </w:tcPr>
          <w:p w14:paraId="7BCFEB04" w14:textId="77777777" w:rsidR="004337E6" w:rsidRPr="002812B0" w:rsidRDefault="004337E6" w:rsidP="008975E4">
            <w:pPr>
              <w:jc w:val="right"/>
              <w:rPr>
                <w:rFonts w:cstheme="minorHAnsi"/>
                <w:sz w:val="18"/>
                <w:szCs w:val="18"/>
              </w:rPr>
            </w:pPr>
            <w:r w:rsidRPr="002812B0">
              <w:rPr>
                <w:rFonts w:cstheme="minorHAnsi"/>
                <w:sz w:val="18"/>
                <w:szCs w:val="18"/>
              </w:rPr>
              <w:t>7.50</w:t>
            </w:r>
          </w:p>
        </w:tc>
        <w:tc>
          <w:tcPr>
            <w:tcW w:w="659" w:type="dxa"/>
            <w:tcBorders>
              <w:top w:val="nil"/>
              <w:left w:val="nil"/>
              <w:bottom w:val="nil"/>
              <w:right w:val="nil"/>
            </w:tcBorders>
            <w:shd w:val="clear" w:color="auto" w:fill="auto"/>
            <w:noWrap/>
            <w:vAlign w:val="bottom"/>
            <w:hideMark/>
          </w:tcPr>
          <w:p w14:paraId="7277FD99" w14:textId="77777777" w:rsidR="004337E6" w:rsidRPr="002812B0" w:rsidRDefault="004337E6" w:rsidP="008975E4">
            <w:pPr>
              <w:jc w:val="right"/>
              <w:rPr>
                <w:rFonts w:cstheme="minorHAnsi"/>
                <w:sz w:val="18"/>
                <w:szCs w:val="18"/>
              </w:rPr>
            </w:pPr>
            <w:r w:rsidRPr="002812B0">
              <w:rPr>
                <w:rFonts w:cstheme="minorHAnsi"/>
                <w:sz w:val="18"/>
                <w:szCs w:val="18"/>
              </w:rPr>
              <w:t>4.39</w:t>
            </w:r>
          </w:p>
        </w:tc>
        <w:tc>
          <w:tcPr>
            <w:tcW w:w="933" w:type="dxa"/>
            <w:gridSpan w:val="2"/>
            <w:tcBorders>
              <w:top w:val="nil"/>
              <w:left w:val="nil"/>
              <w:bottom w:val="nil"/>
              <w:right w:val="nil"/>
            </w:tcBorders>
            <w:shd w:val="clear" w:color="auto" w:fill="auto"/>
            <w:noWrap/>
            <w:vAlign w:val="bottom"/>
            <w:hideMark/>
          </w:tcPr>
          <w:p w14:paraId="0048CE3F" w14:textId="77777777" w:rsidR="004337E6" w:rsidRPr="002812B0" w:rsidRDefault="004337E6" w:rsidP="008975E4">
            <w:pPr>
              <w:jc w:val="right"/>
              <w:rPr>
                <w:rFonts w:cstheme="minorHAnsi"/>
                <w:b/>
                <w:bCs/>
                <w:sz w:val="18"/>
                <w:szCs w:val="18"/>
              </w:rPr>
            </w:pPr>
            <w:r w:rsidRPr="002812B0">
              <w:rPr>
                <w:rFonts w:cstheme="minorHAnsi"/>
                <w:b/>
                <w:bCs/>
                <w:sz w:val="18"/>
                <w:szCs w:val="18"/>
              </w:rPr>
              <w:t>24.43</w:t>
            </w:r>
          </w:p>
        </w:tc>
        <w:tc>
          <w:tcPr>
            <w:tcW w:w="709" w:type="dxa"/>
            <w:tcBorders>
              <w:top w:val="nil"/>
              <w:left w:val="nil"/>
              <w:bottom w:val="nil"/>
              <w:right w:val="single" w:sz="4" w:space="0" w:color="auto"/>
            </w:tcBorders>
            <w:shd w:val="clear" w:color="auto" w:fill="auto"/>
            <w:noWrap/>
            <w:vAlign w:val="bottom"/>
            <w:hideMark/>
          </w:tcPr>
          <w:p w14:paraId="041CFD83" w14:textId="77777777" w:rsidR="004337E6" w:rsidRPr="002812B0" w:rsidRDefault="004337E6" w:rsidP="008975E4">
            <w:pPr>
              <w:jc w:val="right"/>
              <w:rPr>
                <w:rFonts w:cstheme="minorHAnsi"/>
                <w:sz w:val="18"/>
                <w:szCs w:val="18"/>
              </w:rPr>
            </w:pPr>
            <w:r w:rsidRPr="002812B0">
              <w:rPr>
                <w:rFonts w:cstheme="minorHAnsi"/>
                <w:sz w:val="18"/>
                <w:szCs w:val="18"/>
              </w:rPr>
              <w:t>0.64</w:t>
            </w:r>
          </w:p>
        </w:tc>
        <w:tc>
          <w:tcPr>
            <w:tcW w:w="989" w:type="dxa"/>
            <w:gridSpan w:val="2"/>
            <w:tcBorders>
              <w:top w:val="nil"/>
              <w:left w:val="nil"/>
              <w:bottom w:val="nil"/>
              <w:right w:val="nil"/>
            </w:tcBorders>
            <w:shd w:val="clear" w:color="auto" w:fill="auto"/>
            <w:noWrap/>
            <w:vAlign w:val="center"/>
            <w:hideMark/>
          </w:tcPr>
          <w:p w14:paraId="67364E06" w14:textId="77777777" w:rsidR="004337E6" w:rsidRPr="002812B0" w:rsidRDefault="004337E6" w:rsidP="008975E4">
            <w:pPr>
              <w:jc w:val="right"/>
              <w:rPr>
                <w:rFonts w:cstheme="minorHAnsi"/>
                <w:sz w:val="18"/>
                <w:szCs w:val="18"/>
              </w:rPr>
            </w:pPr>
            <w:r w:rsidRPr="002812B0">
              <w:rPr>
                <w:rFonts w:cstheme="minorHAnsi"/>
                <w:sz w:val="18"/>
                <w:szCs w:val="18"/>
              </w:rPr>
              <w:t>51.37</w:t>
            </w:r>
          </w:p>
        </w:tc>
        <w:tc>
          <w:tcPr>
            <w:tcW w:w="894" w:type="dxa"/>
            <w:gridSpan w:val="2"/>
            <w:tcBorders>
              <w:top w:val="nil"/>
              <w:left w:val="nil"/>
              <w:bottom w:val="nil"/>
              <w:right w:val="nil"/>
            </w:tcBorders>
            <w:shd w:val="clear" w:color="auto" w:fill="auto"/>
            <w:noWrap/>
            <w:vAlign w:val="center"/>
            <w:hideMark/>
          </w:tcPr>
          <w:p w14:paraId="295C36AD" w14:textId="77777777" w:rsidR="004337E6" w:rsidRPr="002812B0" w:rsidRDefault="004337E6" w:rsidP="008975E4">
            <w:pPr>
              <w:jc w:val="right"/>
              <w:rPr>
                <w:rFonts w:cstheme="minorHAnsi"/>
                <w:sz w:val="18"/>
                <w:szCs w:val="18"/>
              </w:rPr>
            </w:pPr>
            <w:r w:rsidRPr="002812B0">
              <w:rPr>
                <w:rFonts w:cstheme="minorHAnsi"/>
                <w:sz w:val="18"/>
                <w:szCs w:val="18"/>
              </w:rPr>
              <w:t>12.55</w:t>
            </w:r>
          </w:p>
        </w:tc>
        <w:tc>
          <w:tcPr>
            <w:tcW w:w="690" w:type="dxa"/>
            <w:gridSpan w:val="2"/>
            <w:tcBorders>
              <w:top w:val="nil"/>
              <w:left w:val="nil"/>
              <w:bottom w:val="nil"/>
              <w:right w:val="nil"/>
            </w:tcBorders>
            <w:shd w:val="clear" w:color="auto" w:fill="auto"/>
            <w:noWrap/>
            <w:vAlign w:val="center"/>
            <w:hideMark/>
          </w:tcPr>
          <w:p w14:paraId="51AA4D29" w14:textId="77777777" w:rsidR="004337E6" w:rsidRPr="002812B0" w:rsidRDefault="004337E6" w:rsidP="008975E4">
            <w:pPr>
              <w:jc w:val="right"/>
              <w:rPr>
                <w:rFonts w:cstheme="minorHAnsi"/>
                <w:b/>
                <w:bCs/>
                <w:sz w:val="18"/>
                <w:szCs w:val="18"/>
              </w:rPr>
            </w:pPr>
            <w:r w:rsidRPr="002812B0">
              <w:rPr>
                <w:rFonts w:cstheme="minorHAnsi"/>
                <w:b/>
                <w:bCs/>
                <w:sz w:val="18"/>
                <w:szCs w:val="18"/>
              </w:rPr>
              <w:t>63.92</w:t>
            </w:r>
          </w:p>
        </w:tc>
        <w:tc>
          <w:tcPr>
            <w:tcW w:w="974" w:type="dxa"/>
            <w:gridSpan w:val="2"/>
            <w:tcBorders>
              <w:top w:val="nil"/>
              <w:left w:val="nil"/>
              <w:bottom w:val="nil"/>
              <w:right w:val="nil"/>
            </w:tcBorders>
            <w:shd w:val="clear" w:color="auto" w:fill="auto"/>
            <w:noWrap/>
            <w:vAlign w:val="center"/>
            <w:hideMark/>
          </w:tcPr>
          <w:p w14:paraId="0D5EEE39" w14:textId="77777777" w:rsidR="004337E6" w:rsidRPr="002812B0" w:rsidRDefault="004337E6" w:rsidP="008975E4">
            <w:pPr>
              <w:jc w:val="right"/>
              <w:rPr>
                <w:rFonts w:cstheme="minorHAnsi"/>
                <w:sz w:val="18"/>
                <w:szCs w:val="18"/>
              </w:rPr>
            </w:pPr>
            <w:r w:rsidRPr="002812B0">
              <w:rPr>
                <w:rFonts w:cstheme="minorHAnsi"/>
                <w:sz w:val="18"/>
                <w:szCs w:val="18"/>
              </w:rPr>
              <w:t>21.21</w:t>
            </w:r>
          </w:p>
        </w:tc>
        <w:tc>
          <w:tcPr>
            <w:tcW w:w="894" w:type="dxa"/>
            <w:gridSpan w:val="2"/>
            <w:tcBorders>
              <w:top w:val="nil"/>
              <w:left w:val="nil"/>
              <w:bottom w:val="nil"/>
              <w:right w:val="nil"/>
            </w:tcBorders>
            <w:shd w:val="clear" w:color="auto" w:fill="auto"/>
            <w:noWrap/>
            <w:vAlign w:val="center"/>
            <w:hideMark/>
          </w:tcPr>
          <w:p w14:paraId="0DE5A965" w14:textId="77777777" w:rsidR="004337E6" w:rsidRPr="002812B0" w:rsidRDefault="004337E6" w:rsidP="008975E4">
            <w:pPr>
              <w:jc w:val="right"/>
              <w:rPr>
                <w:rFonts w:cstheme="minorHAnsi"/>
                <w:sz w:val="18"/>
                <w:szCs w:val="18"/>
              </w:rPr>
            </w:pPr>
            <w:r w:rsidRPr="002812B0">
              <w:rPr>
                <w:rFonts w:cstheme="minorHAnsi"/>
                <w:sz w:val="18"/>
                <w:szCs w:val="18"/>
              </w:rPr>
              <w:t>8.37</w:t>
            </w:r>
          </w:p>
        </w:tc>
        <w:tc>
          <w:tcPr>
            <w:tcW w:w="659" w:type="dxa"/>
            <w:gridSpan w:val="2"/>
            <w:tcBorders>
              <w:top w:val="nil"/>
              <w:left w:val="nil"/>
              <w:bottom w:val="nil"/>
              <w:right w:val="nil"/>
            </w:tcBorders>
            <w:shd w:val="clear" w:color="auto" w:fill="auto"/>
            <w:noWrap/>
            <w:vAlign w:val="center"/>
            <w:hideMark/>
          </w:tcPr>
          <w:p w14:paraId="3EA0535F" w14:textId="77777777" w:rsidR="004337E6" w:rsidRPr="002812B0" w:rsidRDefault="004337E6" w:rsidP="008975E4">
            <w:pPr>
              <w:jc w:val="right"/>
              <w:rPr>
                <w:rFonts w:cstheme="minorHAnsi"/>
                <w:sz w:val="18"/>
                <w:szCs w:val="18"/>
              </w:rPr>
            </w:pPr>
            <w:r w:rsidRPr="002812B0">
              <w:rPr>
                <w:rFonts w:cstheme="minorHAnsi"/>
                <w:sz w:val="18"/>
                <w:szCs w:val="18"/>
              </w:rPr>
              <w:t>5.77</w:t>
            </w:r>
          </w:p>
        </w:tc>
        <w:tc>
          <w:tcPr>
            <w:tcW w:w="854" w:type="dxa"/>
            <w:tcBorders>
              <w:top w:val="nil"/>
              <w:left w:val="nil"/>
              <w:bottom w:val="nil"/>
              <w:right w:val="nil"/>
            </w:tcBorders>
            <w:shd w:val="clear" w:color="auto" w:fill="auto"/>
            <w:noWrap/>
            <w:vAlign w:val="center"/>
            <w:hideMark/>
          </w:tcPr>
          <w:p w14:paraId="27AB2886" w14:textId="77777777" w:rsidR="004337E6" w:rsidRPr="002812B0" w:rsidRDefault="004337E6" w:rsidP="008975E4">
            <w:pPr>
              <w:jc w:val="right"/>
              <w:rPr>
                <w:rFonts w:cstheme="minorHAnsi"/>
                <w:b/>
                <w:bCs/>
                <w:sz w:val="18"/>
                <w:szCs w:val="18"/>
              </w:rPr>
            </w:pPr>
            <w:r w:rsidRPr="002812B0">
              <w:rPr>
                <w:rFonts w:cstheme="minorHAnsi"/>
                <w:b/>
                <w:bCs/>
                <w:sz w:val="18"/>
                <w:szCs w:val="18"/>
              </w:rPr>
              <w:t>35.35</w:t>
            </w:r>
          </w:p>
        </w:tc>
        <w:tc>
          <w:tcPr>
            <w:tcW w:w="792" w:type="dxa"/>
            <w:tcBorders>
              <w:top w:val="nil"/>
              <w:left w:val="nil"/>
              <w:bottom w:val="nil"/>
              <w:right w:val="single" w:sz="4" w:space="0" w:color="auto"/>
            </w:tcBorders>
            <w:shd w:val="clear" w:color="auto" w:fill="auto"/>
            <w:noWrap/>
            <w:vAlign w:val="center"/>
            <w:hideMark/>
          </w:tcPr>
          <w:p w14:paraId="6C3E5B51" w14:textId="77777777" w:rsidR="004337E6" w:rsidRPr="002812B0" w:rsidRDefault="004337E6" w:rsidP="008975E4">
            <w:pPr>
              <w:jc w:val="right"/>
              <w:rPr>
                <w:rFonts w:cstheme="minorHAnsi"/>
                <w:sz w:val="18"/>
                <w:szCs w:val="18"/>
              </w:rPr>
            </w:pPr>
            <w:r w:rsidRPr="002812B0">
              <w:rPr>
                <w:rFonts w:cstheme="minorHAnsi"/>
                <w:sz w:val="18"/>
                <w:szCs w:val="18"/>
              </w:rPr>
              <w:t>0.72</w:t>
            </w:r>
          </w:p>
        </w:tc>
      </w:tr>
      <w:tr w:rsidR="004337E6" w:rsidRPr="002812B0" w14:paraId="5E8ABFD1" w14:textId="77777777" w:rsidTr="008975E4">
        <w:trPr>
          <w:trHeight w:hRule="exact" w:val="284"/>
        </w:trPr>
        <w:tc>
          <w:tcPr>
            <w:tcW w:w="1452" w:type="dxa"/>
            <w:tcBorders>
              <w:top w:val="nil"/>
              <w:left w:val="single" w:sz="4" w:space="0" w:color="auto"/>
              <w:bottom w:val="nil"/>
              <w:right w:val="single" w:sz="4" w:space="0" w:color="auto"/>
            </w:tcBorders>
            <w:shd w:val="clear" w:color="auto" w:fill="auto"/>
            <w:noWrap/>
            <w:vAlign w:val="bottom"/>
            <w:hideMark/>
          </w:tcPr>
          <w:p w14:paraId="18C2A611" w14:textId="77777777" w:rsidR="004337E6" w:rsidRPr="002812B0" w:rsidRDefault="004337E6" w:rsidP="008975E4">
            <w:pPr>
              <w:rPr>
                <w:rFonts w:cstheme="minorHAnsi"/>
                <w:sz w:val="18"/>
                <w:szCs w:val="18"/>
              </w:rPr>
            </w:pPr>
            <w:r w:rsidRPr="002812B0">
              <w:rPr>
                <w:rFonts w:cstheme="minorHAnsi"/>
                <w:sz w:val="18"/>
                <w:szCs w:val="18"/>
              </w:rPr>
              <w:t>Finland</w:t>
            </w:r>
          </w:p>
        </w:tc>
        <w:tc>
          <w:tcPr>
            <w:tcW w:w="425" w:type="dxa"/>
            <w:tcBorders>
              <w:top w:val="nil"/>
              <w:left w:val="nil"/>
              <w:bottom w:val="nil"/>
              <w:right w:val="nil"/>
            </w:tcBorders>
            <w:shd w:val="clear" w:color="auto" w:fill="auto"/>
            <w:noWrap/>
            <w:vAlign w:val="bottom"/>
            <w:hideMark/>
          </w:tcPr>
          <w:p w14:paraId="7E699A76" w14:textId="77777777" w:rsidR="004337E6" w:rsidRPr="002812B0" w:rsidRDefault="004337E6" w:rsidP="008975E4">
            <w:pPr>
              <w:ind w:right="-111"/>
              <w:jc w:val="left"/>
              <w:rPr>
                <w:rFonts w:cstheme="minorHAnsi"/>
                <w:sz w:val="18"/>
                <w:szCs w:val="18"/>
              </w:rPr>
            </w:pPr>
            <w:r w:rsidRPr="002812B0">
              <w:rPr>
                <w:rFonts w:cstheme="minorHAnsi"/>
                <w:sz w:val="18"/>
                <w:szCs w:val="18"/>
              </w:rPr>
              <w:t>FI</w:t>
            </w:r>
          </w:p>
        </w:tc>
        <w:tc>
          <w:tcPr>
            <w:tcW w:w="992" w:type="dxa"/>
            <w:gridSpan w:val="2"/>
            <w:tcBorders>
              <w:top w:val="nil"/>
              <w:left w:val="single" w:sz="4" w:space="0" w:color="auto"/>
              <w:bottom w:val="nil"/>
              <w:right w:val="nil"/>
            </w:tcBorders>
            <w:shd w:val="clear" w:color="auto" w:fill="auto"/>
            <w:noWrap/>
            <w:vAlign w:val="bottom"/>
            <w:hideMark/>
          </w:tcPr>
          <w:p w14:paraId="34579B3A" w14:textId="77777777" w:rsidR="004337E6" w:rsidRPr="002812B0" w:rsidRDefault="004337E6" w:rsidP="008975E4">
            <w:pPr>
              <w:jc w:val="right"/>
              <w:rPr>
                <w:rFonts w:cstheme="minorHAnsi"/>
                <w:sz w:val="18"/>
                <w:szCs w:val="18"/>
              </w:rPr>
            </w:pPr>
            <w:r w:rsidRPr="002812B0">
              <w:rPr>
                <w:rFonts w:cstheme="minorHAnsi"/>
                <w:sz w:val="18"/>
                <w:szCs w:val="18"/>
              </w:rPr>
              <w:t>65.43</w:t>
            </w:r>
          </w:p>
        </w:tc>
        <w:tc>
          <w:tcPr>
            <w:tcW w:w="992" w:type="dxa"/>
            <w:gridSpan w:val="2"/>
            <w:tcBorders>
              <w:top w:val="nil"/>
              <w:left w:val="nil"/>
              <w:bottom w:val="nil"/>
              <w:right w:val="nil"/>
            </w:tcBorders>
            <w:shd w:val="clear" w:color="auto" w:fill="auto"/>
            <w:noWrap/>
            <w:vAlign w:val="bottom"/>
            <w:hideMark/>
          </w:tcPr>
          <w:p w14:paraId="1FEACB60" w14:textId="77777777" w:rsidR="004337E6" w:rsidRPr="002812B0" w:rsidRDefault="004337E6" w:rsidP="008975E4">
            <w:pPr>
              <w:jc w:val="right"/>
              <w:rPr>
                <w:rFonts w:cstheme="minorHAnsi"/>
                <w:sz w:val="18"/>
                <w:szCs w:val="18"/>
              </w:rPr>
            </w:pPr>
            <w:r w:rsidRPr="002812B0">
              <w:rPr>
                <w:rFonts w:cstheme="minorHAnsi"/>
                <w:sz w:val="18"/>
                <w:szCs w:val="18"/>
              </w:rPr>
              <w:t>9.67</w:t>
            </w:r>
          </w:p>
        </w:tc>
        <w:tc>
          <w:tcPr>
            <w:tcW w:w="851" w:type="dxa"/>
            <w:gridSpan w:val="2"/>
            <w:tcBorders>
              <w:top w:val="nil"/>
              <w:left w:val="nil"/>
              <w:bottom w:val="nil"/>
              <w:right w:val="nil"/>
            </w:tcBorders>
            <w:shd w:val="clear" w:color="auto" w:fill="auto"/>
            <w:noWrap/>
            <w:vAlign w:val="bottom"/>
            <w:hideMark/>
          </w:tcPr>
          <w:p w14:paraId="0D88EA69" w14:textId="77777777" w:rsidR="004337E6" w:rsidRPr="002812B0" w:rsidRDefault="004337E6" w:rsidP="008975E4">
            <w:pPr>
              <w:jc w:val="right"/>
              <w:rPr>
                <w:rFonts w:cstheme="minorHAnsi"/>
                <w:b/>
                <w:bCs/>
                <w:sz w:val="18"/>
                <w:szCs w:val="18"/>
              </w:rPr>
            </w:pPr>
            <w:r w:rsidRPr="002812B0">
              <w:rPr>
                <w:rFonts w:cstheme="minorHAnsi"/>
                <w:b/>
                <w:bCs/>
                <w:sz w:val="18"/>
                <w:szCs w:val="18"/>
              </w:rPr>
              <w:t>75.10</w:t>
            </w:r>
          </w:p>
        </w:tc>
        <w:tc>
          <w:tcPr>
            <w:tcW w:w="709" w:type="dxa"/>
            <w:gridSpan w:val="2"/>
            <w:tcBorders>
              <w:top w:val="nil"/>
              <w:left w:val="nil"/>
              <w:bottom w:val="nil"/>
              <w:right w:val="nil"/>
            </w:tcBorders>
            <w:shd w:val="clear" w:color="auto" w:fill="auto"/>
            <w:noWrap/>
            <w:vAlign w:val="bottom"/>
            <w:hideMark/>
          </w:tcPr>
          <w:p w14:paraId="58956B07" w14:textId="77777777" w:rsidR="004337E6" w:rsidRPr="002812B0" w:rsidRDefault="004337E6" w:rsidP="008975E4">
            <w:pPr>
              <w:jc w:val="right"/>
              <w:rPr>
                <w:rFonts w:cstheme="minorHAnsi"/>
                <w:sz w:val="18"/>
                <w:szCs w:val="18"/>
              </w:rPr>
            </w:pPr>
            <w:r w:rsidRPr="002812B0">
              <w:rPr>
                <w:rFonts w:cstheme="minorHAnsi"/>
                <w:sz w:val="18"/>
                <w:szCs w:val="18"/>
              </w:rPr>
              <w:t>3.16</w:t>
            </w:r>
          </w:p>
        </w:tc>
        <w:tc>
          <w:tcPr>
            <w:tcW w:w="817" w:type="dxa"/>
            <w:gridSpan w:val="2"/>
            <w:tcBorders>
              <w:top w:val="nil"/>
              <w:left w:val="nil"/>
              <w:bottom w:val="nil"/>
              <w:right w:val="nil"/>
            </w:tcBorders>
            <w:shd w:val="clear" w:color="auto" w:fill="auto"/>
            <w:noWrap/>
            <w:vAlign w:val="bottom"/>
            <w:hideMark/>
          </w:tcPr>
          <w:p w14:paraId="7737BDD0" w14:textId="77777777" w:rsidR="004337E6" w:rsidRPr="002812B0" w:rsidRDefault="004337E6" w:rsidP="008975E4">
            <w:pPr>
              <w:jc w:val="right"/>
              <w:rPr>
                <w:rFonts w:cstheme="minorHAnsi"/>
                <w:sz w:val="18"/>
                <w:szCs w:val="18"/>
              </w:rPr>
            </w:pPr>
            <w:r w:rsidRPr="002812B0">
              <w:rPr>
                <w:rFonts w:cstheme="minorHAnsi"/>
                <w:sz w:val="18"/>
                <w:szCs w:val="18"/>
              </w:rPr>
              <w:t>12.45</w:t>
            </w:r>
          </w:p>
        </w:tc>
        <w:tc>
          <w:tcPr>
            <w:tcW w:w="659" w:type="dxa"/>
            <w:tcBorders>
              <w:top w:val="nil"/>
              <w:left w:val="nil"/>
              <w:bottom w:val="nil"/>
              <w:right w:val="nil"/>
            </w:tcBorders>
            <w:shd w:val="clear" w:color="auto" w:fill="auto"/>
            <w:noWrap/>
            <w:vAlign w:val="bottom"/>
            <w:hideMark/>
          </w:tcPr>
          <w:p w14:paraId="3079BF56" w14:textId="77777777" w:rsidR="004337E6" w:rsidRPr="002812B0" w:rsidRDefault="004337E6" w:rsidP="008975E4">
            <w:pPr>
              <w:jc w:val="right"/>
              <w:rPr>
                <w:rFonts w:cstheme="minorHAnsi"/>
                <w:sz w:val="18"/>
                <w:szCs w:val="18"/>
              </w:rPr>
            </w:pPr>
            <w:r w:rsidRPr="002812B0">
              <w:rPr>
                <w:rFonts w:cstheme="minorHAnsi"/>
                <w:sz w:val="18"/>
                <w:szCs w:val="18"/>
              </w:rPr>
              <w:t>8.18</w:t>
            </w:r>
          </w:p>
        </w:tc>
        <w:tc>
          <w:tcPr>
            <w:tcW w:w="933" w:type="dxa"/>
            <w:gridSpan w:val="2"/>
            <w:tcBorders>
              <w:top w:val="nil"/>
              <w:left w:val="nil"/>
              <w:bottom w:val="nil"/>
              <w:right w:val="nil"/>
            </w:tcBorders>
            <w:shd w:val="clear" w:color="auto" w:fill="auto"/>
            <w:noWrap/>
            <w:vAlign w:val="bottom"/>
            <w:hideMark/>
          </w:tcPr>
          <w:p w14:paraId="49AE19F0" w14:textId="77777777" w:rsidR="004337E6" w:rsidRPr="002812B0" w:rsidRDefault="004337E6" w:rsidP="008975E4">
            <w:pPr>
              <w:jc w:val="right"/>
              <w:rPr>
                <w:rFonts w:cstheme="minorHAnsi"/>
                <w:b/>
                <w:bCs/>
                <w:sz w:val="18"/>
                <w:szCs w:val="18"/>
              </w:rPr>
            </w:pPr>
            <w:r w:rsidRPr="002812B0">
              <w:rPr>
                <w:rFonts w:cstheme="minorHAnsi"/>
                <w:b/>
                <w:bCs/>
                <w:sz w:val="18"/>
                <w:szCs w:val="18"/>
              </w:rPr>
              <w:t>23.79</w:t>
            </w:r>
          </w:p>
        </w:tc>
        <w:tc>
          <w:tcPr>
            <w:tcW w:w="709" w:type="dxa"/>
            <w:tcBorders>
              <w:top w:val="nil"/>
              <w:left w:val="nil"/>
              <w:bottom w:val="nil"/>
              <w:right w:val="single" w:sz="4" w:space="0" w:color="auto"/>
            </w:tcBorders>
            <w:shd w:val="clear" w:color="auto" w:fill="auto"/>
            <w:noWrap/>
            <w:vAlign w:val="bottom"/>
            <w:hideMark/>
          </w:tcPr>
          <w:p w14:paraId="3725E1E8" w14:textId="77777777" w:rsidR="004337E6" w:rsidRPr="002812B0" w:rsidRDefault="004337E6" w:rsidP="008975E4">
            <w:pPr>
              <w:jc w:val="right"/>
              <w:rPr>
                <w:rFonts w:cstheme="minorHAnsi"/>
                <w:sz w:val="18"/>
                <w:szCs w:val="18"/>
              </w:rPr>
            </w:pPr>
            <w:r w:rsidRPr="002812B0">
              <w:rPr>
                <w:rFonts w:cstheme="minorHAnsi"/>
                <w:sz w:val="18"/>
                <w:szCs w:val="18"/>
              </w:rPr>
              <w:t>1.12</w:t>
            </w:r>
          </w:p>
        </w:tc>
        <w:tc>
          <w:tcPr>
            <w:tcW w:w="989" w:type="dxa"/>
            <w:gridSpan w:val="2"/>
            <w:tcBorders>
              <w:top w:val="nil"/>
              <w:left w:val="nil"/>
              <w:bottom w:val="nil"/>
              <w:right w:val="nil"/>
            </w:tcBorders>
            <w:shd w:val="clear" w:color="auto" w:fill="auto"/>
            <w:noWrap/>
            <w:vAlign w:val="center"/>
            <w:hideMark/>
          </w:tcPr>
          <w:p w14:paraId="43585354" w14:textId="77777777" w:rsidR="004337E6" w:rsidRPr="002812B0" w:rsidRDefault="004337E6" w:rsidP="008975E4">
            <w:pPr>
              <w:jc w:val="right"/>
              <w:rPr>
                <w:rFonts w:cstheme="minorHAnsi"/>
                <w:sz w:val="18"/>
                <w:szCs w:val="18"/>
              </w:rPr>
            </w:pPr>
            <w:r w:rsidRPr="002812B0">
              <w:rPr>
                <w:rFonts w:cstheme="minorHAnsi"/>
                <w:sz w:val="18"/>
                <w:szCs w:val="18"/>
              </w:rPr>
              <w:t>62.46</w:t>
            </w:r>
          </w:p>
        </w:tc>
        <w:tc>
          <w:tcPr>
            <w:tcW w:w="894" w:type="dxa"/>
            <w:gridSpan w:val="2"/>
            <w:tcBorders>
              <w:top w:val="nil"/>
              <w:left w:val="nil"/>
              <w:bottom w:val="nil"/>
              <w:right w:val="nil"/>
            </w:tcBorders>
            <w:shd w:val="clear" w:color="auto" w:fill="auto"/>
            <w:noWrap/>
            <w:vAlign w:val="center"/>
            <w:hideMark/>
          </w:tcPr>
          <w:p w14:paraId="2E819363" w14:textId="77777777" w:rsidR="004337E6" w:rsidRPr="002812B0" w:rsidRDefault="004337E6" w:rsidP="008975E4">
            <w:pPr>
              <w:jc w:val="right"/>
              <w:rPr>
                <w:rFonts w:cstheme="minorHAnsi"/>
                <w:sz w:val="18"/>
                <w:szCs w:val="18"/>
              </w:rPr>
            </w:pPr>
            <w:r w:rsidRPr="002812B0">
              <w:rPr>
                <w:rFonts w:cstheme="minorHAnsi"/>
                <w:sz w:val="18"/>
                <w:szCs w:val="18"/>
              </w:rPr>
              <w:t>12.75</w:t>
            </w:r>
          </w:p>
        </w:tc>
        <w:tc>
          <w:tcPr>
            <w:tcW w:w="690" w:type="dxa"/>
            <w:gridSpan w:val="2"/>
            <w:tcBorders>
              <w:top w:val="nil"/>
              <w:left w:val="nil"/>
              <w:bottom w:val="nil"/>
              <w:right w:val="nil"/>
            </w:tcBorders>
            <w:shd w:val="clear" w:color="auto" w:fill="auto"/>
            <w:noWrap/>
            <w:vAlign w:val="center"/>
            <w:hideMark/>
          </w:tcPr>
          <w:p w14:paraId="3BFFF696" w14:textId="77777777" w:rsidR="004337E6" w:rsidRPr="002812B0" w:rsidRDefault="004337E6" w:rsidP="008975E4">
            <w:pPr>
              <w:jc w:val="right"/>
              <w:rPr>
                <w:rFonts w:cstheme="minorHAnsi"/>
                <w:b/>
                <w:bCs/>
                <w:sz w:val="18"/>
                <w:szCs w:val="18"/>
              </w:rPr>
            </w:pPr>
            <w:r w:rsidRPr="002812B0">
              <w:rPr>
                <w:rFonts w:cstheme="minorHAnsi"/>
                <w:b/>
                <w:bCs/>
                <w:sz w:val="18"/>
                <w:szCs w:val="18"/>
              </w:rPr>
              <w:t>75.21</w:t>
            </w:r>
          </w:p>
        </w:tc>
        <w:tc>
          <w:tcPr>
            <w:tcW w:w="974" w:type="dxa"/>
            <w:gridSpan w:val="2"/>
            <w:tcBorders>
              <w:top w:val="nil"/>
              <w:left w:val="nil"/>
              <w:bottom w:val="nil"/>
              <w:right w:val="nil"/>
            </w:tcBorders>
            <w:shd w:val="clear" w:color="auto" w:fill="auto"/>
            <w:noWrap/>
            <w:vAlign w:val="center"/>
            <w:hideMark/>
          </w:tcPr>
          <w:p w14:paraId="65A3A61E" w14:textId="77777777" w:rsidR="004337E6" w:rsidRPr="002812B0" w:rsidRDefault="004337E6" w:rsidP="008975E4">
            <w:pPr>
              <w:jc w:val="right"/>
              <w:rPr>
                <w:rFonts w:cstheme="minorHAnsi"/>
                <w:sz w:val="18"/>
                <w:szCs w:val="18"/>
              </w:rPr>
            </w:pPr>
            <w:r w:rsidRPr="002812B0">
              <w:rPr>
                <w:rFonts w:cstheme="minorHAnsi"/>
                <w:sz w:val="18"/>
                <w:szCs w:val="18"/>
              </w:rPr>
              <w:t>3.69</w:t>
            </w:r>
          </w:p>
        </w:tc>
        <w:tc>
          <w:tcPr>
            <w:tcW w:w="894" w:type="dxa"/>
            <w:gridSpan w:val="2"/>
            <w:tcBorders>
              <w:top w:val="nil"/>
              <w:left w:val="nil"/>
              <w:bottom w:val="nil"/>
              <w:right w:val="nil"/>
            </w:tcBorders>
            <w:shd w:val="clear" w:color="auto" w:fill="auto"/>
            <w:noWrap/>
            <w:vAlign w:val="center"/>
            <w:hideMark/>
          </w:tcPr>
          <w:p w14:paraId="5228ADA1" w14:textId="77777777" w:rsidR="004337E6" w:rsidRPr="002812B0" w:rsidRDefault="004337E6" w:rsidP="008975E4">
            <w:pPr>
              <w:jc w:val="right"/>
              <w:rPr>
                <w:rFonts w:cstheme="minorHAnsi"/>
                <w:sz w:val="18"/>
                <w:szCs w:val="18"/>
              </w:rPr>
            </w:pPr>
            <w:r w:rsidRPr="002812B0">
              <w:rPr>
                <w:rFonts w:cstheme="minorHAnsi"/>
                <w:sz w:val="18"/>
                <w:szCs w:val="18"/>
              </w:rPr>
              <w:t>12.16</w:t>
            </w:r>
          </w:p>
        </w:tc>
        <w:tc>
          <w:tcPr>
            <w:tcW w:w="659" w:type="dxa"/>
            <w:gridSpan w:val="2"/>
            <w:tcBorders>
              <w:top w:val="nil"/>
              <w:left w:val="nil"/>
              <w:bottom w:val="nil"/>
              <w:right w:val="nil"/>
            </w:tcBorders>
            <w:shd w:val="clear" w:color="auto" w:fill="auto"/>
            <w:noWrap/>
            <w:vAlign w:val="center"/>
            <w:hideMark/>
          </w:tcPr>
          <w:p w14:paraId="7D99E66E" w14:textId="77777777" w:rsidR="004337E6" w:rsidRPr="002812B0" w:rsidRDefault="004337E6" w:rsidP="008975E4">
            <w:pPr>
              <w:jc w:val="right"/>
              <w:rPr>
                <w:rFonts w:cstheme="minorHAnsi"/>
                <w:sz w:val="18"/>
                <w:szCs w:val="18"/>
              </w:rPr>
            </w:pPr>
            <w:r w:rsidRPr="002812B0">
              <w:rPr>
                <w:rFonts w:cstheme="minorHAnsi"/>
                <w:sz w:val="18"/>
                <w:szCs w:val="18"/>
              </w:rPr>
              <w:t>8.10</w:t>
            </w:r>
          </w:p>
        </w:tc>
        <w:tc>
          <w:tcPr>
            <w:tcW w:w="854" w:type="dxa"/>
            <w:tcBorders>
              <w:top w:val="nil"/>
              <w:left w:val="nil"/>
              <w:bottom w:val="nil"/>
              <w:right w:val="nil"/>
            </w:tcBorders>
            <w:shd w:val="clear" w:color="auto" w:fill="auto"/>
            <w:noWrap/>
            <w:vAlign w:val="center"/>
            <w:hideMark/>
          </w:tcPr>
          <w:p w14:paraId="142A0E36" w14:textId="77777777" w:rsidR="004337E6" w:rsidRPr="002812B0" w:rsidRDefault="004337E6" w:rsidP="008975E4">
            <w:pPr>
              <w:jc w:val="right"/>
              <w:rPr>
                <w:rFonts w:cstheme="minorHAnsi"/>
                <w:b/>
                <w:bCs/>
                <w:sz w:val="18"/>
                <w:szCs w:val="18"/>
              </w:rPr>
            </w:pPr>
            <w:r w:rsidRPr="002812B0">
              <w:rPr>
                <w:rFonts w:cstheme="minorHAnsi"/>
                <w:b/>
                <w:bCs/>
                <w:sz w:val="18"/>
                <w:szCs w:val="18"/>
              </w:rPr>
              <w:t>23.95</w:t>
            </w:r>
          </w:p>
        </w:tc>
        <w:tc>
          <w:tcPr>
            <w:tcW w:w="792" w:type="dxa"/>
            <w:tcBorders>
              <w:top w:val="nil"/>
              <w:left w:val="nil"/>
              <w:bottom w:val="nil"/>
              <w:right w:val="single" w:sz="4" w:space="0" w:color="auto"/>
            </w:tcBorders>
            <w:shd w:val="clear" w:color="auto" w:fill="auto"/>
            <w:noWrap/>
            <w:vAlign w:val="center"/>
            <w:hideMark/>
          </w:tcPr>
          <w:p w14:paraId="2C6FF806" w14:textId="77777777" w:rsidR="004337E6" w:rsidRPr="002812B0" w:rsidRDefault="004337E6" w:rsidP="008975E4">
            <w:pPr>
              <w:jc w:val="right"/>
              <w:rPr>
                <w:rFonts w:cstheme="minorHAnsi"/>
                <w:sz w:val="18"/>
                <w:szCs w:val="18"/>
              </w:rPr>
            </w:pPr>
            <w:r w:rsidRPr="002812B0">
              <w:rPr>
                <w:rFonts w:cstheme="minorHAnsi"/>
                <w:sz w:val="18"/>
                <w:szCs w:val="18"/>
              </w:rPr>
              <w:t>0.83</w:t>
            </w:r>
          </w:p>
        </w:tc>
      </w:tr>
      <w:tr w:rsidR="004337E6" w:rsidRPr="002812B0" w14:paraId="5EE1D45A" w14:textId="77777777" w:rsidTr="008975E4">
        <w:trPr>
          <w:trHeight w:hRule="exact" w:val="284"/>
        </w:trPr>
        <w:tc>
          <w:tcPr>
            <w:tcW w:w="1452" w:type="dxa"/>
            <w:tcBorders>
              <w:top w:val="nil"/>
              <w:left w:val="single" w:sz="4" w:space="0" w:color="auto"/>
              <w:bottom w:val="nil"/>
              <w:right w:val="single" w:sz="4" w:space="0" w:color="auto"/>
            </w:tcBorders>
            <w:shd w:val="clear" w:color="auto" w:fill="auto"/>
            <w:noWrap/>
            <w:vAlign w:val="bottom"/>
            <w:hideMark/>
          </w:tcPr>
          <w:p w14:paraId="0BED9344" w14:textId="77777777" w:rsidR="004337E6" w:rsidRPr="002812B0" w:rsidRDefault="004337E6" w:rsidP="008975E4">
            <w:pPr>
              <w:rPr>
                <w:rFonts w:cstheme="minorHAnsi"/>
                <w:sz w:val="18"/>
                <w:szCs w:val="18"/>
              </w:rPr>
            </w:pPr>
            <w:r w:rsidRPr="002812B0">
              <w:rPr>
                <w:rFonts w:cstheme="minorHAnsi"/>
                <w:sz w:val="18"/>
                <w:szCs w:val="18"/>
              </w:rPr>
              <w:t>Czech Republic</w:t>
            </w:r>
          </w:p>
        </w:tc>
        <w:tc>
          <w:tcPr>
            <w:tcW w:w="425" w:type="dxa"/>
            <w:tcBorders>
              <w:top w:val="nil"/>
              <w:left w:val="nil"/>
              <w:bottom w:val="nil"/>
              <w:right w:val="nil"/>
            </w:tcBorders>
            <w:shd w:val="clear" w:color="auto" w:fill="auto"/>
            <w:noWrap/>
            <w:vAlign w:val="bottom"/>
            <w:hideMark/>
          </w:tcPr>
          <w:p w14:paraId="34373F1E" w14:textId="77777777" w:rsidR="004337E6" w:rsidRPr="002812B0" w:rsidRDefault="004337E6" w:rsidP="008975E4">
            <w:pPr>
              <w:ind w:right="-111"/>
              <w:jc w:val="left"/>
              <w:rPr>
                <w:rFonts w:cstheme="minorHAnsi"/>
                <w:sz w:val="18"/>
                <w:szCs w:val="18"/>
              </w:rPr>
            </w:pPr>
            <w:r w:rsidRPr="002812B0">
              <w:rPr>
                <w:rFonts w:cstheme="minorHAnsi"/>
                <w:sz w:val="18"/>
                <w:szCs w:val="18"/>
              </w:rPr>
              <w:t>CZ</w:t>
            </w:r>
          </w:p>
        </w:tc>
        <w:tc>
          <w:tcPr>
            <w:tcW w:w="992" w:type="dxa"/>
            <w:gridSpan w:val="2"/>
            <w:tcBorders>
              <w:top w:val="nil"/>
              <w:left w:val="single" w:sz="4" w:space="0" w:color="auto"/>
              <w:bottom w:val="nil"/>
              <w:right w:val="nil"/>
            </w:tcBorders>
            <w:shd w:val="clear" w:color="auto" w:fill="auto"/>
            <w:noWrap/>
            <w:vAlign w:val="bottom"/>
            <w:hideMark/>
          </w:tcPr>
          <w:p w14:paraId="467D2A34" w14:textId="77777777" w:rsidR="004337E6" w:rsidRPr="002812B0" w:rsidRDefault="004337E6" w:rsidP="008975E4">
            <w:pPr>
              <w:jc w:val="right"/>
              <w:rPr>
                <w:rFonts w:cstheme="minorHAnsi"/>
                <w:sz w:val="18"/>
                <w:szCs w:val="18"/>
              </w:rPr>
            </w:pPr>
            <w:r w:rsidRPr="002812B0">
              <w:rPr>
                <w:rFonts w:cstheme="minorHAnsi"/>
                <w:sz w:val="18"/>
                <w:szCs w:val="18"/>
              </w:rPr>
              <w:t>70.96</w:t>
            </w:r>
          </w:p>
        </w:tc>
        <w:tc>
          <w:tcPr>
            <w:tcW w:w="992" w:type="dxa"/>
            <w:gridSpan w:val="2"/>
            <w:tcBorders>
              <w:top w:val="nil"/>
              <w:left w:val="nil"/>
              <w:bottom w:val="nil"/>
              <w:right w:val="nil"/>
            </w:tcBorders>
            <w:shd w:val="clear" w:color="auto" w:fill="auto"/>
            <w:noWrap/>
            <w:vAlign w:val="bottom"/>
            <w:hideMark/>
          </w:tcPr>
          <w:p w14:paraId="4AC8F198" w14:textId="77777777" w:rsidR="004337E6" w:rsidRPr="002812B0" w:rsidRDefault="004337E6" w:rsidP="008975E4">
            <w:pPr>
              <w:jc w:val="right"/>
              <w:rPr>
                <w:rFonts w:cstheme="minorHAnsi"/>
                <w:sz w:val="18"/>
                <w:szCs w:val="18"/>
              </w:rPr>
            </w:pPr>
            <w:r w:rsidRPr="002812B0">
              <w:rPr>
                <w:rFonts w:cstheme="minorHAnsi"/>
                <w:sz w:val="18"/>
                <w:szCs w:val="18"/>
              </w:rPr>
              <w:t>8.25</w:t>
            </w:r>
          </w:p>
        </w:tc>
        <w:tc>
          <w:tcPr>
            <w:tcW w:w="851" w:type="dxa"/>
            <w:gridSpan w:val="2"/>
            <w:tcBorders>
              <w:top w:val="nil"/>
              <w:left w:val="nil"/>
              <w:bottom w:val="nil"/>
              <w:right w:val="nil"/>
            </w:tcBorders>
            <w:shd w:val="clear" w:color="auto" w:fill="auto"/>
            <w:noWrap/>
            <w:vAlign w:val="bottom"/>
            <w:hideMark/>
          </w:tcPr>
          <w:p w14:paraId="19E932DB" w14:textId="77777777" w:rsidR="004337E6" w:rsidRPr="002812B0" w:rsidRDefault="004337E6" w:rsidP="008975E4">
            <w:pPr>
              <w:jc w:val="right"/>
              <w:rPr>
                <w:rFonts w:cstheme="minorHAnsi"/>
                <w:b/>
                <w:bCs/>
                <w:sz w:val="18"/>
                <w:szCs w:val="18"/>
              </w:rPr>
            </w:pPr>
            <w:r w:rsidRPr="002812B0">
              <w:rPr>
                <w:rFonts w:cstheme="minorHAnsi"/>
                <w:b/>
                <w:bCs/>
                <w:sz w:val="18"/>
                <w:szCs w:val="18"/>
              </w:rPr>
              <w:t>79.21</w:t>
            </w:r>
          </w:p>
        </w:tc>
        <w:tc>
          <w:tcPr>
            <w:tcW w:w="709" w:type="dxa"/>
            <w:gridSpan w:val="2"/>
            <w:tcBorders>
              <w:top w:val="nil"/>
              <w:left w:val="nil"/>
              <w:bottom w:val="nil"/>
              <w:right w:val="nil"/>
            </w:tcBorders>
            <w:shd w:val="clear" w:color="auto" w:fill="auto"/>
            <w:noWrap/>
            <w:vAlign w:val="bottom"/>
            <w:hideMark/>
          </w:tcPr>
          <w:p w14:paraId="2250BED9" w14:textId="77777777" w:rsidR="004337E6" w:rsidRPr="002812B0" w:rsidRDefault="004337E6" w:rsidP="008975E4">
            <w:pPr>
              <w:jc w:val="right"/>
              <w:rPr>
                <w:rFonts w:cstheme="minorHAnsi"/>
                <w:sz w:val="18"/>
                <w:szCs w:val="18"/>
              </w:rPr>
            </w:pPr>
            <w:r w:rsidRPr="002812B0">
              <w:rPr>
                <w:rFonts w:cstheme="minorHAnsi"/>
                <w:sz w:val="18"/>
                <w:szCs w:val="18"/>
              </w:rPr>
              <w:t>3.96</w:t>
            </w:r>
          </w:p>
        </w:tc>
        <w:tc>
          <w:tcPr>
            <w:tcW w:w="817" w:type="dxa"/>
            <w:gridSpan w:val="2"/>
            <w:tcBorders>
              <w:top w:val="nil"/>
              <w:left w:val="nil"/>
              <w:bottom w:val="nil"/>
              <w:right w:val="nil"/>
            </w:tcBorders>
            <w:shd w:val="clear" w:color="auto" w:fill="auto"/>
            <w:noWrap/>
            <w:vAlign w:val="bottom"/>
            <w:hideMark/>
          </w:tcPr>
          <w:p w14:paraId="0EB642A8" w14:textId="77777777" w:rsidR="004337E6" w:rsidRPr="002812B0" w:rsidRDefault="004337E6" w:rsidP="008975E4">
            <w:pPr>
              <w:jc w:val="right"/>
              <w:rPr>
                <w:rFonts w:cstheme="minorHAnsi"/>
                <w:sz w:val="18"/>
                <w:szCs w:val="18"/>
              </w:rPr>
            </w:pPr>
            <w:r w:rsidRPr="002812B0">
              <w:rPr>
                <w:rFonts w:cstheme="minorHAnsi"/>
                <w:sz w:val="18"/>
                <w:szCs w:val="18"/>
              </w:rPr>
              <w:t>15.69</w:t>
            </w:r>
          </w:p>
        </w:tc>
        <w:tc>
          <w:tcPr>
            <w:tcW w:w="659" w:type="dxa"/>
            <w:tcBorders>
              <w:top w:val="nil"/>
              <w:left w:val="nil"/>
              <w:bottom w:val="nil"/>
              <w:right w:val="nil"/>
            </w:tcBorders>
            <w:shd w:val="clear" w:color="auto" w:fill="auto"/>
            <w:noWrap/>
            <w:vAlign w:val="bottom"/>
            <w:hideMark/>
          </w:tcPr>
          <w:p w14:paraId="0127E6E0" w14:textId="77777777" w:rsidR="004337E6" w:rsidRPr="002812B0" w:rsidRDefault="004337E6" w:rsidP="008975E4">
            <w:pPr>
              <w:jc w:val="right"/>
              <w:rPr>
                <w:rFonts w:cstheme="minorHAnsi"/>
                <w:sz w:val="18"/>
                <w:szCs w:val="18"/>
              </w:rPr>
            </w:pPr>
            <w:r w:rsidRPr="002812B0">
              <w:rPr>
                <w:rFonts w:cstheme="minorHAnsi"/>
                <w:sz w:val="18"/>
                <w:szCs w:val="18"/>
              </w:rPr>
              <w:t>1.01</w:t>
            </w:r>
          </w:p>
        </w:tc>
        <w:tc>
          <w:tcPr>
            <w:tcW w:w="933" w:type="dxa"/>
            <w:gridSpan w:val="2"/>
            <w:tcBorders>
              <w:top w:val="nil"/>
              <w:left w:val="nil"/>
              <w:bottom w:val="nil"/>
              <w:right w:val="nil"/>
            </w:tcBorders>
            <w:shd w:val="clear" w:color="auto" w:fill="auto"/>
            <w:noWrap/>
            <w:vAlign w:val="bottom"/>
            <w:hideMark/>
          </w:tcPr>
          <w:p w14:paraId="72D0C98F" w14:textId="77777777" w:rsidR="004337E6" w:rsidRPr="002812B0" w:rsidRDefault="004337E6" w:rsidP="008975E4">
            <w:pPr>
              <w:jc w:val="right"/>
              <w:rPr>
                <w:rFonts w:cstheme="minorHAnsi"/>
                <w:b/>
                <w:bCs/>
                <w:sz w:val="18"/>
                <w:szCs w:val="18"/>
              </w:rPr>
            </w:pPr>
            <w:r w:rsidRPr="002812B0">
              <w:rPr>
                <w:rFonts w:cstheme="minorHAnsi"/>
                <w:b/>
                <w:bCs/>
                <w:sz w:val="18"/>
                <w:szCs w:val="18"/>
              </w:rPr>
              <w:t>20.66</w:t>
            </w:r>
          </w:p>
        </w:tc>
        <w:tc>
          <w:tcPr>
            <w:tcW w:w="709" w:type="dxa"/>
            <w:tcBorders>
              <w:top w:val="nil"/>
              <w:left w:val="nil"/>
              <w:bottom w:val="nil"/>
              <w:right w:val="single" w:sz="4" w:space="0" w:color="auto"/>
            </w:tcBorders>
            <w:shd w:val="clear" w:color="auto" w:fill="auto"/>
            <w:noWrap/>
            <w:vAlign w:val="bottom"/>
            <w:hideMark/>
          </w:tcPr>
          <w:p w14:paraId="4ED156E7" w14:textId="77777777" w:rsidR="004337E6" w:rsidRPr="002812B0" w:rsidRDefault="004337E6" w:rsidP="008975E4">
            <w:pPr>
              <w:jc w:val="right"/>
              <w:rPr>
                <w:rFonts w:cstheme="minorHAnsi"/>
                <w:sz w:val="18"/>
                <w:szCs w:val="18"/>
              </w:rPr>
            </w:pPr>
            <w:r w:rsidRPr="002812B0">
              <w:rPr>
                <w:rFonts w:cstheme="minorHAnsi"/>
                <w:sz w:val="18"/>
                <w:szCs w:val="18"/>
              </w:rPr>
              <w:t>0.13</w:t>
            </w:r>
          </w:p>
        </w:tc>
        <w:tc>
          <w:tcPr>
            <w:tcW w:w="989" w:type="dxa"/>
            <w:gridSpan w:val="2"/>
            <w:tcBorders>
              <w:top w:val="nil"/>
              <w:left w:val="nil"/>
              <w:bottom w:val="nil"/>
              <w:right w:val="nil"/>
            </w:tcBorders>
            <w:shd w:val="clear" w:color="auto" w:fill="auto"/>
            <w:noWrap/>
            <w:vAlign w:val="center"/>
            <w:hideMark/>
          </w:tcPr>
          <w:p w14:paraId="4FFFCD22" w14:textId="77777777" w:rsidR="004337E6" w:rsidRPr="002812B0" w:rsidRDefault="004337E6" w:rsidP="008975E4">
            <w:pPr>
              <w:jc w:val="right"/>
              <w:rPr>
                <w:rFonts w:cstheme="minorHAnsi"/>
                <w:sz w:val="18"/>
                <w:szCs w:val="18"/>
              </w:rPr>
            </w:pPr>
            <w:r w:rsidRPr="002812B0">
              <w:rPr>
                <w:rFonts w:cstheme="minorHAnsi"/>
                <w:sz w:val="18"/>
                <w:szCs w:val="18"/>
              </w:rPr>
              <w:t>68.86</w:t>
            </w:r>
          </w:p>
        </w:tc>
        <w:tc>
          <w:tcPr>
            <w:tcW w:w="894" w:type="dxa"/>
            <w:gridSpan w:val="2"/>
            <w:tcBorders>
              <w:top w:val="nil"/>
              <w:left w:val="nil"/>
              <w:bottom w:val="nil"/>
              <w:right w:val="nil"/>
            </w:tcBorders>
            <w:shd w:val="clear" w:color="auto" w:fill="auto"/>
            <w:noWrap/>
            <w:vAlign w:val="center"/>
            <w:hideMark/>
          </w:tcPr>
          <w:p w14:paraId="236D7CCD" w14:textId="77777777" w:rsidR="004337E6" w:rsidRPr="002812B0" w:rsidRDefault="004337E6" w:rsidP="008975E4">
            <w:pPr>
              <w:jc w:val="right"/>
              <w:rPr>
                <w:rFonts w:cstheme="minorHAnsi"/>
                <w:sz w:val="18"/>
                <w:szCs w:val="18"/>
              </w:rPr>
            </w:pPr>
            <w:r w:rsidRPr="002812B0">
              <w:rPr>
                <w:rFonts w:cstheme="minorHAnsi"/>
                <w:sz w:val="18"/>
                <w:szCs w:val="18"/>
              </w:rPr>
              <w:t>9.18</w:t>
            </w:r>
          </w:p>
        </w:tc>
        <w:tc>
          <w:tcPr>
            <w:tcW w:w="690" w:type="dxa"/>
            <w:gridSpan w:val="2"/>
            <w:tcBorders>
              <w:top w:val="nil"/>
              <w:left w:val="nil"/>
              <w:bottom w:val="nil"/>
              <w:right w:val="nil"/>
            </w:tcBorders>
            <w:shd w:val="clear" w:color="auto" w:fill="auto"/>
            <w:noWrap/>
            <w:vAlign w:val="center"/>
            <w:hideMark/>
          </w:tcPr>
          <w:p w14:paraId="3A598A15" w14:textId="77777777" w:rsidR="004337E6" w:rsidRPr="002812B0" w:rsidRDefault="004337E6" w:rsidP="008975E4">
            <w:pPr>
              <w:jc w:val="right"/>
              <w:rPr>
                <w:rFonts w:cstheme="minorHAnsi"/>
                <w:b/>
                <w:bCs/>
                <w:sz w:val="18"/>
                <w:szCs w:val="18"/>
              </w:rPr>
            </w:pPr>
            <w:r w:rsidRPr="002812B0">
              <w:rPr>
                <w:rFonts w:cstheme="minorHAnsi"/>
                <w:b/>
                <w:bCs/>
                <w:sz w:val="18"/>
                <w:szCs w:val="18"/>
              </w:rPr>
              <w:t>78.04</w:t>
            </w:r>
          </w:p>
        </w:tc>
        <w:tc>
          <w:tcPr>
            <w:tcW w:w="974" w:type="dxa"/>
            <w:gridSpan w:val="2"/>
            <w:tcBorders>
              <w:top w:val="nil"/>
              <w:left w:val="nil"/>
              <w:bottom w:val="nil"/>
              <w:right w:val="nil"/>
            </w:tcBorders>
            <w:shd w:val="clear" w:color="auto" w:fill="auto"/>
            <w:noWrap/>
            <w:vAlign w:val="center"/>
            <w:hideMark/>
          </w:tcPr>
          <w:p w14:paraId="181317A8" w14:textId="77777777" w:rsidR="004337E6" w:rsidRPr="002812B0" w:rsidRDefault="004337E6" w:rsidP="008975E4">
            <w:pPr>
              <w:jc w:val="right"/>
              <w:rPr>
                <w:rFonts w:cstheme="minorHAnsi"/>
                <w:sz w:val="18"/>
                <w:szCs w:val="18"/>
              </w:rPr>
            </w:pPr>
            <w:r w:rsidRPr="002812B0">
              <w:rPr>
                <w:rFonts w:cstheme="minorHAnsi"/>
                <w:sz w:val="18"/>
                <w:szCs w:val="18"/>
              </w:rPr>
              <w:t>4.88</w:t>
            </w:r>
          </w:p>
        </w:tc>
        <w:tc>
          <w:tcPr>
            <w:tcW w:w="894" w:type="dxa"/>
            <w:gridSpan w:val="2"/>
            <w:tcBorders>
              <w:top w:val="nil"/>
              <w:left w:val="nil"/>
              <w:bottom w:val="nil"/>
              <w:right w:val="nil"/>
            </w:tcBorders>
            <w:shd w:val="clear" w:color="auto" w:fill="auto"/>
            <w:noWrap/>
            <w:vAlign w:val="center"/>
            <w:hideMark/>
          </w:tcPr>
          <w:p w14:paraId="2F7F3B35" w14:textId="77777777" w:rsidR="004337E6" w:rsidRPr="002812B0" w:rsidRDefault="004337E6" w:rsidP="008975E4">
            <w:pPr>
              <w:jc w:val="right"/>
              <w:rPr>
                <w:rFonts w:cstheme="minorHAnsi"/>
                <w:sz w:val="18"/>
                <w:szCs w:val="18"/>
              </w:rPr>
            </w:pPr>
            <w:r w:rsidRPr="002812B0">
              <w:rPr>
                <w:rFonts w:cstheme="minorHAnsi"/>
                <w:sz w:val="18"/>
                <w:szCs w:val="18"/>
              </w:rPr>
              <w:t>14.23</w:t>
            </w:r>
          </w:p>
        </w:tc>
        <w:tc>
          <w:tcPr>
            <w:tcW w:w="659" w:type="dxa"/>
            <w:gridSpan w:val="2"/>
            <w:tcBorders>
              <w:top w:val="nil"/>
              <w:left w:val="nil"/>
              <w:bottom w:val="nil"/>
              <w:right w:val="nil"/>
            </w:tcBorders>
            <w:shd w:val="clear" w:color="auto" w:fill="auto"/>
            <w:noWrap/>
            <w:vAlign w:val="center"/>
            <w:hideMark/>
          </w:tcPr>
          <w:p w14:paraId="3F0F3C6B" w14:textId="77777777" w:rsidR="004337E6" w:rsidRPr="002812B0" w:rsidRDefault="004337E6" w:rsidP="008975E4">
            <w:pPr>
              <w:jc w:val="right"/>
              <w:rPr>
                <w:rFonts w:cstheme="minorHAnsi"/>
                <w:sz w:val="18"/>
                <w:szCs w:val="18"/>
              </w:rPr>
            </w:pPr>
            <w:r w:rsidRPr="002812B0">
              <w:rPr>
                <w:rFonts w:cstheme="minorHAnsi"/>
                <w:sz w:val="18"/>
                <w:szCs w:val="18"/>
              </w:rPr>
              <w:t>2.86</w:t>
            </w:r>
          </w:p>
        </w:tc>
        <w:tc>
          <w:tcPr>
            <w:tcW w:w="854" w:type="dxa"/>
            <w:tcBorders>
              <w:top w:val="nil"/>
              <w:left w:val="nil"/>
              <w:bottom w:val="nil"/>
              <w:right w:val="nil"/>
            </w:tcBorders>
            <w:shd w:val="clear" w:color="auto" w:fill="auto"/>
            <w:noWrap/>
            <w:vAlign w:val="center"/>
            <w:hideMark/>
          </w:tcPr>
          <w:p w14:paraId="468D9862" w14:textId="77777777" w:rsidR="004337E6" w:rsidRPr="002812B0" w:rsidRDefault="004337E6" w:rsidP="008975E4">
            <w:pPr>
              <w:jc w:val="right"/>
              <w:rPr>
                <w:rFonts w:cstheme="minorHAnsi"/>
                <w:b/>
                <w:bCs/>
                <w:sz w:val="18"/>
                <w:szCs w:val="18"/>
              </w:rPr>
            </w:pPr>
            <w:r w:rsidRPr="002812B0">
              <w:rPr>
                <w:rFonts w:cstheme="minorHAnsi"/>
                <w:b/>
                <w:bCs/>
                <w:sz w:val="18"/>
                <w:szCs w:val="18"/>
              </w:rPr>
              <w:t>21.97</w:t>
            </w:r>
          </w:p>
        </w:tc>
        <w:tc>
          <w:tcPr>
            <w:tcW w:w="792" w:type="dxa"/>
            <w:tcBorders>
              <w:top w:val="nil"/>
              <w:left w:val="nil"/>
              <w:bottom w:val="nil"/>
              <w:right w:val="single" w:sz="4" w:space="0" w:color="auto"/>
            </w:tcBorders>
            <w:shd w:val="clear" w:color="auto" w:fill="auto"/>
            <w:noWrap/>
            <w:vAlign w:val="center"/>
            <w:hideMark/>
          </w:tcPr>
          <w:p w14:paraId="411BB454" w14:textId="77777777" w:rsidR="004337E6" w:rsidRPr="002812B0" w:rsidRDefault="004337E6" w:rsidP="008975E4">
            <w:pPr>
              <w:jc w:val="right"/>
              <w:rPr>
                <w:rFonts w:cstheme="minorHAnsi"/>
                <w:sz w:val="18"/>
                <w:szCs w:val="18"/>
              </w:rPr>
            </w:pPr>
            <w:r w:rsidRPr="002812B0">
              <w:rPr>
                <w:rFonts w:cstheme="minorHAnsi"/>
                <w:sz w:val="18"/>
                <w:szCs w:val="18"/>
              </w:rPr>
              <w:t>0.00</w:t>
            </w:r>
          </w:p>
        </w:tc>
      </w:tr>
      <w:tr w:rsidR="004337E6" w:rsidRPr="002812B0" w14:paraId="53ABF759" w14:textId="77777777" w:rsidTr="008975E4">
        <w:trPr>
          <w:trHeight w:hRule="exact" w:val="284"/>
        </w:trPr>
        <w:tc>
          <w:tcPr>
            <w:tcW w:w="1452" w:type="dxa"/>
            <w:tcBorders>
              <w:top w:val="nil"/>
              <w:left w:val="single" w:sz="4" w:space="0" w:color="auto"/>
              <w:bottom w:val="nil"/>
              <w:right w:val="single" w:sz="4" w:space="0" w:color="auto"/>
            </w:tcBorders>
            <w:shd w:val="clear" w:color="auto" w:fill="auto"/>
            <w:noWrap/>
            <w:vAlign w:val="bottom"/>
            <w:hideMark/>
          </w:tcPr>
          <w:p w14:paraId="189C78BC" w14:textId="77777777" w:rsidR="004337E6" w:rsidRPr="002812B0" w:rsidRDefault="004337E6" w:rsidP="008975E4">
            <w:pPr>
              <w:rPr>
                <w:rFonts w:cstheme="minorHAnsi"/>
                <w:sz w:val="18"/>
                <w:szCs w:val="18"/>
              </w:rPr>
            </w:pPr>
            <w:r w:rsidRPr="002812B0">
              <w:rPr>
                <w:rFonts w:cstheme="minorHAnsi"/>
                <w:sz w:val="18"/>
                <w:szCs w:val="18"/>
              </w:rPr>
              <w:t>France</w:t>
            </w:r>
          </w:p>
        </w:tc>
        <w:tc>
          <w:tcPr>
            <w:tcW w:w="425" w:type="dxa"/>
            <w:tcBorders>
              <w:top w:val="nil"/>
              <w:left w:val="nil"/>
              <w:bottom w:val="nil"/>
              <w:right w:val="nil"/>
            </w:tcBorders>
            <w:shd w:val="clear" w:color="auto" w:fill="auto"/>
            <w:noWrap/>
            <w:vAlign w:val="bottom"/>
            <w:hideMark/>
          </w:tcPr>
          <w:p w14:paraId="45D07753" w14:textId="77777777" w:rsidR="004337E6" w:rsidRPr="002812B0" w:rsidRDefault="004337E6" w:rsidP="008975E4">
            <w:pPr>
              <w:ind w:right="-111"/>
              <w:jc w:val="left"/>
              <w:rPr>
                <w:rFonts w:cstheme="minorHAnsi"/>
                <w:sz w:val="18"/>
                <w:szCs w:val="18"/>
              </w:rPr>
            </w:pPr>
            <w:r w:rsidRPr="002812B0">
              <w:rPr>
                <w:rFonts w:cstheme="minorHAnsi"/>
                <w:sz w:val="18"/>
                <w:szCs w:val="18"/>
              </w:rPr>
              <w:t>FR</w:t>
            </w:r>
          </w:p>
        </w:tc>
        <w:tc>
          <w:tcPr>
            <w:tcW w:w="992" w:type="dxa"/>
            <w:gridSpan w:val="2"/>
            <w:tcBorders>
              <w:top w:val="nil"/>
              <w:left w:val="single" w:sz="4" w:space="0" w:color="auto"/>
              <w:bottom w:val="nil"/>
              <w:right w:val="nil"/>
            </w:tcBorders>
            <w:shd w:val="clear" w:color="auto" w:fill="auto"/>
            <w:noWrap/>
            <w:vAlign w:val="bottom"/>
            <w:hideMark/>
          </w:tcPr>
          <w:p w14:paraId="697E7960" w14:textId="77777777" w:rsidR="004337E6" w:rsidRPr="002812B0" w:rsidRDefault="004337E6" w:rsidP="008975E4">
            <w:pPr>
              <w:jc w:val="right"/>
              <w:rPr>
                <w:rFonts w:cstheme="minorHAnsi"/>
                <w:sz w:val="18"/>
                <w:szCs w:val="18"/>
              </w:rPr>
            </w:pPr>
            <w:r w:rsidRPr="002812B0">
              <w:rPr>
                <w:rFonts w:cstheme="minorHAnsi"/>
                <w:sz w:val="18"/>
                <w:szCs w:val="18"/>
              </w:rPr>
              <w:t>71.47</w:t>
            </w:r>
          </w:p>
        </w:tc>
        <w:tc>
          <w:tcPr>
            <w:tcW w:w="992" w:type="dxa"/>
            <w:gridSpan w:val="2"/>
            <w:tcBorders>
              <w:top w:val="nil"/>
              <w:left w:val="nil"/>
              <w:bottom w:val="nil"/>
              <w:right w:val="nil"/>
            </w:tcBorders>
            <w:shd w:val="clear" w:color="auto" w:fill="auto"/>
            <w:noWrap/>
            <w:vAlign w:val="bottom"/>
            <w:hideMark/>
          </w:tcPr>
          <w:p w14:paraId="340349FE" w14:textId="77777777" w:rsidR="004337E6" w:rsidRPr="002812B0" w:rsidRDefault="004337E6" w:rsidP="008975E4">
            <w:pPr>
              <w:jc w:val="right"/>
              <w:rPr>
                <w:rFonts w:cstheme="minorHAnsi"/>
                <w:sz w:val="18"/>
                <w:szCs w:val="18"/>
              </w:rPr>
            </w:pPr>
            <w:r w:rsidRPr="002812B0">
              <w:rPr>
                <w:rFonts w:cstheme="minorHAnsi"/>
                <w:sz w:val="18"/>
                <w:szCs w:val="18"/>
              </w:rPr>
              <w:t>8.37</w:t>
            </w:r>
          </w:p>
        </w:tc>
        <w:tc>
          <w:tcPr>
            <w:tcW w:w="851" w:type="dxa"/>
            <w:gridSpan w:val="2"/>
            <w:tcBorders>
              <w:top w:val="nil"/>
              <w:left w:val="nil"/>
              <w:bottom w:val="nil"/>
              <w:right w:val="nil"/>
            </w:tcBorders>
            <w:shd w:val="clear" w:color="auto" w:fill="auto"/>
            <w:noWrap/>
            <w:vAlign w:val="bottom"/>
            <w:hideMark/>
          </w:tcPr>
          <w:p w14:paraId="7D3A613F" w14:textId="77777777" w:rsidR="004337E6" w:rsidRPr="002812B0" w:rsidRDefault="004337E6" w:rsidP="008975E4">
            <w:pPr>
              <w:jc w:val="right"/>
              <w:rPr>
                <w:rFonts w:cstheme="minorHAnsi"/>
                <w:b/>
                <w:bCs/>
                <w:sz w:val="18"/>
                <w:szCs w:val="18"/>
              </w:rPr>
            </w:pPr>
            <w:r w:rsidRPr="002812B0">
              <w:rPr>
                <w:rFonts w:cstheme="minorHAnsi"/>
                <w:b/>
                <w:bCs/>
                <w:sz w:val="18"/>
                <w:szCs w:val="18"/>
              </w:rPr>
              <w:t>79.84</w:t>
            </w:r>
          </w:p>
        </w:tc>
        <w:tc>
          <w:tcPr>
            <w:tcW w:w="709" w:type="dxa"/>
            <w:gridSpan w:val="2"/>
            <w:tcBorders>
              <w:top w:val="nil"/>
              <w:left w:val="nil"/>
              <w:bottom w:val="nil"/>
              <w:right w:val="nil"/>
            </w:tcBorders>
            <w:shd w:val="clear" w:color="auto" w:fill="auto"/>
            <w:noWrap/>
            <w:vAlign w:val="bottom"/>
            <w:hideMark/>
          </w:tcPr>
          <w:p w14:paraId="43B1B522" w14:textId="77777777" w:rsidR="004337E6" w:rsidRPr="002812B0" w:rsidRDefault="004337E6" w:rsidP="008975E4">
            <w:pPr>
              <w:jc w:val="right"/>
              <w:rPr>
                <w:rFonts w:cstheme="minorHAnsi"/>
                <w:sz w:val="18"/>
                <w:szCs w:val="18"/>
              </w:rPr>
            </w:pPr>
            <w:r w:rsidRPr="002812B0">
              <w:rPr>
                <w:rFonts w:cstheme="minorHAnsi"/>
                <w:sz w:val="18"/>
                <w:szCs w:val="18"/>
              </w:rPr>
              <w:t>9.61</w:t>
            </w:r>
          </w:p>
        </w:tc>
        <w:tc>
          <w:tcPr>
            <w:tcW w:w="817" w:type="dxa"/>
            <w:gridSpan w:val="2"/>
            <w:tcBorders>
              <w:top w:val="nil"/>
              <w:left w:val="nil"/>
              <w:bottom w:val="nil"/>
              <w:right w:val="nil"/>
            </w:tcBorders>
            <w:shd w:val="clear" w:color="auto" w:fill="auto"/>
            <w:noWrap/>
            <w:vAlign w:val="bottom"/>
            <w:hideMark/>
          </w:tcPr>
          <w:p w14:paraId="137EADF3" w14:textId="77777777" w:rsidR="004337E6" w:rsidRPr="002812B0" w:rsidRDefault="004337E6" w:rsidP="008975E4">
            <w:pPr>
              <w:jc w:val="right"/>
              <w:rPr>
                <w:rFonts w:cstheme="minorHAnsi"/>
                <w:sz w:val="18"/>
                <w:szCs w:val="18"/>
              </w:rPr>
            </w:pPr>
            <w:r w:rsidRPr="002812B0">
              <w:rPr>
                <w:rFonts w:cstheme="minorHAnsi"/>
                <w:sz w:val="18"/>
                <w:szCs w:val="18"/>
              </w:rPr>
              <w:t>5.46</w:t>
            </w:r>
          </w:p>
        </w:tc>
        <w:tc>
          <w:tcPr>
            <w:tcW w:w="659" w:type="dxa"/>
            <w:tcBorders>
              <w:top w:val="nil"/>
              <w:left w:val="nil"/>
              <w:bottom w:val="nil"/>
              <w:right w:val="nil"/>
            </w:tcBorders>
            <w:shd w:val="clear" w:color="auto" w:fill="auto"/>
            <w:noWrap/>
            <w:vAlign w:val="bottom"/>
            <w:hideMark/>
          </w:tcPr>
          <w:p w14:paraId="7DE3F986" w14:textId="77777777" w:rsidR="004337E6" w:rsidRPr="002812B0" w:rsidRDefault="004337E6" w:rsidP="008975E4">
            <w:pPr>
              <w:jc w:val="right"/>
              <w:rPr>
                <w:rFonts w:cstheme="minorHAnsi"/>
                <w:sz w:val="18"/>
                <w:szCs w:val="18"/>
              </w:rPr>
            </w:pPr>
            <w:r w:rsidRPr="002812B0">
              <w:rPr>
                <w:rFonts w:cstheme="minorHAnsi"/>
                <w:sz w:val="18"/>
                <w:szCs w:val="18"/>
              </w:rPr>
              <w:t>4.29</w:t>
            </w:r>
          </w:p>
        </w:tc>
        <w:tc>
          <w:tcPr>
            <w:tcW w:w="933" w:type="dxa"/>
            <w:gridSpan w:val="2"/>
            <w:tcBorders>
              <w:top w:val="nil"/>
              <w:left w:val="nil"/>
              <w:bottom w:val="nil"/>
              <w:right w:val="nil"/>
            </w:tcBorders>
            <w:shd w:val="clear" w:color="auto" w:fill="auto"/>
            <w:noWrap/>
            <w:vAlign w:val="bottom"/>
            <w:hideMark/>
          </w:tcPr>
          <w:p w14:paraId="2DE87700" w14:textId="77777777" w:rsidR="004337E6" w:rsidRPr="002812B0" w:rsidRDefault="004337E6" w:rsidP="008975E4">
            <w:pPr>
              <w:jc w:val="right"/>
              <w:rPr>
                <w:rFonts w:cstheme="minorHAnsi"/>
                <w:b/>
                <w:bCs/>
                <w:sz w:val="18"/>
                <w:szCs w:val="18"/>
              </w:rPr>
            </w:pPr>
            <w:r w:rsidRPr="002812B0">
              <w:rPr>
                <w:rFonts w:cstheme="minorHAnsi"/>
                <w:b/>
                <w:bCs/>
                <w:sz w:val="18"/>
                <w:szCs w:val="18"/>
              </w:rPr>
              <w:t>19.36</w:t>
            </w:r>
          </w:p>
        </w:tc>
        <w:tc>
          <w:tcPr>
            <w:tcW w:w="709" w:type="dxa"/>
            <w:tcBorders>
              <w:top w:val="nil"/>
              <w:left w:val="nil"/>
              <w:bottom w:val="nil"/>
              <w:right w:val="single" w:sz="4" w:space="0" w:color="auto"/>
            </w:tcBorders>
            <w:shd w:val="clear" w:color="auto" w:fill="auto"/>
            <w:noWrap/>
            <w:vAlign w:val="bottom"/>
            <w:hideMark/>
          </w:tcPr>
          <w:p w14:paraId="4A2A1570" w14:textId="77777777" w:rsidR="004337E6" w:rsidRPr="002812B0" w:rsidRDefault="004337E6" w:rsidP="008975E4">
            <w:pPr>
              <w:jc w:val="right"/>
              <w:rPr>
                <w:rFonts w:cstheme="minorHAnsi"/>
                <w:sz w:val="18"/>
                <w:szCs w:val="18"/>
              </w:rPr>
            </w:pPr>
            <w:r w:rsidRPr="002812B0">
              <w:rPr>
                <w:rFonts w:cstheme="minorHAnsi"/>
                <w:sz w:val="18"/>
                <w:szCs w:val="18"/>
              </w:rPr>
              <w:t>0.80</w:t>
            </w:r>
          </w:p>
        </w:tc>
        <w:tc>
          <w:tcPr>
            <w:tcW w:w="989" w:type="dxa"/>
            <w:gridSpan w:val="2"/>
            <w:tcBorders>
              <w:top w:val="nil"/>
              <w:left w:val="nil"/>
              <w:bottom w:val="nil"/>
              <w:right w:val="nil"/>
            </w:tcBorders>
            <w:shd w:val="clear" w:color="auto" w:fill="auto"/>
            <w:noWrap/>
            <w:vAlign w:val="center"/>
            <w:hideMark/>
          </w:tcPr>
          <w:p w14:paraId="4B854CBE" w14:textId="77777777" w:rsidR="004337E6" w:rsidRPr="002812B0" w:rsidRDefault="004337E6" w:rsidP="008975E4">
            <w:pPr>
              <w:jc w:val="right"/>
              <w:rPr>
                <w:rFonts w:cstheme="minorHAnsi"/>
                <w:sz w:val="18"/>
                <w:szCs w:val="18"/>
              </w:rPr>
            </w:pPr>
            <w:r w:rsidRPr="002812B0">
              <w:rPr>
                <w:rFonts w:cstheme="minorHAnsi"/>
                <w:sz w:val="18"/>
                <w:szCs w:val="18"/>
              </w:rPr>
              <w:t>70.03</w:t>
            </w:r>
          </w:p>
        </w:tc>
        <w:tc>
          <w:tcPr>
            <w:tcW w:w="894" w:type="dxa"/>
            <w:gridSpan w:val="2"/>
            <w:tcBorders>
              <w:top w:val="nil"/>
              <w:left w:val="nil"/>
              <w:bottom w:val="nil"/>
              <w:right w:val="nil"/>
            </w:tcBorders>
            <w:shd w:val="clear" w:color="auto" w:fill="auto"/>
            <w:noWrap/>
            <w:vAlign w:val="center"/>
            <w:hideMark/>
          </w:tcPr>
          <w:p w14:paraId="53DDF3CF" w14:textId="77777777" w:rsidR="004337E6" w:rsidRPr="002812B0" w:rsidRDefault="004337E6" w:rsidP="008975E4">
            <w:pPr>
              <w:jc w:val="right"/>
              <w:rPr>
                <w:rFonts w:cstheme="minorHAnsi"/>
                <w:sz w:val="18"/>
                <w:szCs w:val="18"/>
              </w:rPr>
            </w:pPr>
            <w:r w:rsidRPr="002812B0">
              <w:rPr>
                <w:rFonts w:cstheme="minorHAnsi"/>
                <w:sz w:val="18"/>
                <w:szCs w:val="18"/>
              </w:rPr>
              <w:t>9.38</w:t>
            </w:r>
          </w:p>
        </w:tc>
        <w:tc>
          <w:tcPr>
            <w:tcW w:w="690" w:type="dxa"/>
            <w:gridSpan w:val="2"/>
            <w:tcBorders>
              <w:top w:val="nil"/>
              <w:left w:val="nil"/>
              <w:bottom w:val="nil"/>
              <w:right w:val="nil"/>
            </w:tcBorders>
            <w:shd w:val="clear" w:color="auto" w:fill="auto"/>
            <w:noWrap/>
            <w:vAlign w:val="center"/>
            <w:hideMark/>
          </w:tcPr>
          <w:p w14:paraId="04DF1D6D" w14:textId="77777777" w:rsidR="004337E6" w:rsidRPr="002812B0" w:rsidRDefault="004337E6" w:rsidP="008975E4">
            <w:pPr>
              <w:jc w:val="right"/>
              <w:rPr>
                <w:rFonts w:cstheme="minorHAnsi"/>
                <w:b/>
                <w:bCs/>
                <w:sz w:val="18"/>
                <w:szCs w:val="18"/>
              </w:rPr>
            </w:pPr>
            <w:r w:rsidRPr="002812B0">
              <w:rPr>
                <w:rFonts w:cstheme="minorHAnsi"/>
                <w:b/>
                <w:bCs/>
                <w:sz w:val="18"/>
                <w:szCs w:val="18"/>
              </w:rPr>
              <w:t>79.41</w:t>
            </w:r>
          </w:p>
        </w:tc>
        <w:tc>
          <w:tcPr>
            <w:tcW w:w="974" w:type="dxa"/>
            <w:gridSpan w:val="2"/>
            <w:tcBorders>
              <w:top w:val="nil"/>
              <w:left w:val="nil"/>
              <w:bottom w:val="nil"/>
              <w:right w:val="nil"/>
            </w:tcBorders>
            <w:shd w:val="clear" w:color="auto" w:fill="auto"/>
            <w:noWrap/>
            <w:vAlign w:val="center"/>
            <w:hideMark/>
          </w:tcPr>
          <w:p w14:paraId="7E788E2C" w14:textId="77777777" w:rsidR="004337E6" w:rsidRPr="002812B0" w:rsidRDefault="004337E6" w:rsidP="008975E4">
            <w:pPr>
              <w:jc w:val="right"/>
              <w:rPr>
                <w:rFonts w:cstheme="minorHAnsi"/>
                <w:sz w:val="18"/>
                <w:szCs w:val="18"/>
              </w:rPr>
            </w:pPr>
            <w:r w:rsidRPr="002812B0">
              <w:rPr>
                <w:rFonts w:cstheme="minorHAnsi"/>
                <w:sz w:val="18"/>
                <w:szCs w:val="18"/>
              </w:rPr>
              <w:t>9.78</w:t>
            </w:r>
          </w:p>
        </w:tc>
        <w:tc>
          <w:tcPr>
            <w:tcW w:w="894" w:type="dxa"/>
            <w:gridSpan w:val="2"/>
            <w:tcBorders>
              <w:top w:val="nil"/>
              <w:left w:val="nil"/>
              <w:bottom w:val="nil"/>
              <w:right w:val="nil"/>
            </w:tcBorders>
            <w:shd w:val="clear" w:color="auto" w:fill="auto"/>
            <w:noWrap/>
            <w:vAlign w:val="center"/>
            <w:hideMark/>
          </w:tcPr>
          <w:p w14:paraId="71F33B4C" w14:textId="77777777" w:rsidR="004337E6" w:rsidRPr="002812B0" w:rsidRDefault="004337E6" w:rsidP="008975E4">
            <w:pPr>
              <w:jc w:val="right"/>
              <w:rPr>
                <w:rFonts w:cstheme="minorHAnsi"/>
                <w:sz w:val="18"/>
                <w:szCs w:val="18"/>
              </w:rPr>
            </w:pPr>
            <w:r w:rsidRPr="002812B0">
              <w:rPr>
                <w:rFonts w:cstheme="minorHAnsi"/>
                <w:sz w:val="18"/>
                <w:szCs w:val="18"/>
              </w:rPr>
              <w:t>4.61</w:t>
            </w:r>
          </w:p>
        </w:tc>
        <w:tc>
          <w:tcPr>
            <w:tcW w:w="659" w:type="dxa"/>
            <w:gridSpan w:val="2"/>
            <w:tcBorders>
              <w:top w:val="nil"/>
              <w:left w:val="nil"/>
              <w:bottom w:val="nil"/>
              <w:right w:val="nil"/>
            </w:tcBorders>
            <w:shd w:val="clear" w:color="auto" w:fill="auto"/>
            <w:noWrap/>
            <w:vAlign w:val="center"/>
            <w:hideMark/>
          </w:tcPr>
          <w:p w14:paraId="1B36C27B" w14:textId="77777777" w:rsidR="004337E6" w:rsidRPr="002812B0" w:rsidRDefault="004337E6" w:rsidP="008975E4">
            <w:pPr>
              <w:jc w:val="right"/>
              <w:rPr>
                <w:rFonts w:cstheme="minorHAnsi"/>
                <w:sz w:val="18"/>
                <w:szCs w:val="18"/>
              </w:rPr>
            </w:pPr>
            <w:r w:rsidRPr="002812B0">
              <w:rPr>
                <w:rFonts w:cstheme="minorHAnsi"/>
                <w:sz w:val="18"/>
                <w:szCs w:val="18"/>
              </w:rPr>
              <w:t>5.64</w:t>
            </w:r>
          </w:p>
        </w:tc>
        <w:tc>
          <w:tcPr>
            <w:tcW w:w="854" w:type="dxa"/>
            <w:tcBorders>
              <w:top w:val="nil"/>
              <w:left w:val="nil"/>
              <w:bottom w:val="nil"/>
              <w:right w:val="nil"/>
            </w:tcBorders>
            <w:shd w:val="clear" w:color="auto" w:fill="auto"/>
            <w:noWrap/>
            <w:vAlign w:val="center"/>
            <w:hideMark/>
          </w:tcPr>
          <w:p w14:paraId="1ECFA381" w14:textId="77777777" w:rsidR="004337E6" w:rsidRPr="002812B0" w:rsidRDefault="004337E6" w:rsidP="008975E4">
            <w:pPr>
              <w:jc w:val="right"/>
              <w:rPr>
                <w:rFonts w:cstheme="minorHAnsi"/>
                <w:b/>
                <w:bCs/>
                <w:sz w:val="18"/>
                <w:szCs w:val="18"/>
              </w:rPr>
            </w:pPr>
            <w:r w:rsidRPr="002812B0">
              <w:rPr>
                <w:rFonts w:cstheme="minorHAnsi"/>
                <w:b/>
                <w:bCs/>
                <w:sz w:val="18"/>
                <w:szCs w:val="18"/>
              </w:rPr>
              <w:t>20.03</w:t>
            </w:r>
          </w:p>
        </w:tc>
        <w:tc>
          <w:tcPr>
            <w:tcW w:w="792" w:type="dxa"/>
            <w:tcBorders>
              <w:top w:val="nil"/>
              <w:left w:val="nil"/>
              <w:bottom w:val="nil"/>
              <w:right w:val="single" w:sz="4" w:space="0" w:color="auto"/>
            </w:tcBorders>
            <w:shd w:val="clear" w:color="auto" w:fill="auto"/>
            <w:noWrap/>
            <w:vAlign w:val="center"/>
            <w:hideMark/>
          </w:tcPr>
          <w:p w14:paraId="1EC055E5" w14:textId="77777777" w:rsidR="004337E6" w:rsidRPr="002812B0" w:rsidRDefault="004337E6" w:rsidP="008975E4">
            <w:pPr>
              <w:jc w:val="right"/>
              <w:rPr>
                <w:rFonts w:cstheme="minorHAnsi"/>
                <w:sz w:val="18"/>
                <w:szCs w:val="18"/>
              </w:rPr>
            </w:pPr>
            <w:r w:rsidRPr="002812B0">
              <w:rPr>
                <w:rFonts w:cstheme="minorHAnsi"/>
                <w:sz w:val="18"/>
                <w:szCs w:val="18"/>
              </w:rPr>
              <w:t>0.56</w:t>
            </w:r>
          </w:p>
        </w:tc>
      </w:tr>
      <w:tr w:rsidR="004337E6" w:rsidRPr="002812B0" w14:paraId="692D2E25" w14:textId="77777777" w:rsidTr="008975E4">
        <w:trPr>
          <w:trHeight w:hRule="exact" w:val="284"/>
        </w:trPr>
        <w:tc>
          <w:tcPr>
            <w:tcW w:w="1452" w:type="dxa"/>
            <w:tcBorders>
              <w:top w:val="nil"/>
              <w:left w:val="single" w:sz="4" w:space="0" w:color="auto"/>
              <w:bottom w:val="nil"/>
              <w:right w:val="single" w:sz="4" w:space="0" w:color="auto"/>
            </w:tcBorders>
            <w:shd w:val="clear" w:color="auto" w:fill="auto"/>
            <w:noWrap/>
            <w:vAlign w:val="bottom"/>
            <w:hideMark/>
          </w:tcPr>
          <w:p w14:paraId="073D0447" w14:textId="77777777" w:rsidR="004337E6" w:rsidRPr="002812B0" w:rsidRDefault="004337E6" w:rsidP="008975E4">
            <w:pPr>
              <w:rPr>
                <w:rFonts w:cstheme="minorHAnsi"/>
                <w:sz w:val="18"/>
                <w:szCs w:val="18"/>
              </w:rPr>
            </w:pPr>
            <w:r w:rsidRPr="002812B0">
              <w:rPr>
                <w:rFonts w:cstheme="minorHAnsi"/>
                <w:sz w:val="18"/>
                <w:szCs w:val="18"/>
              </w:rPr>
              <w:t>United Kingdom</w:t>
            </w:r>
          </w:p>
        </w:tc>
        <w:tc>
          <w:tcPr>
            <w:tcW w:w="425" w:type="dxa"/>
            <w:tcBorders>
              <w:top w:val="nil"/>
              <w:left w:val="nil"/>
              <w:bottom w:val="nil"/>
              <w:right w:val="nil"/>
            </w:tcBorders>
            <w:shd w:val="clear" w:color="auto" w:fill="auto"/>
            <w:noWrap/>
            <w:vAlign w:val="bottom"/>
            <w:hideMark/>
          </w:tcPr>
          <w:p w14:paraId="4AD9BD55" w14:textId="77777777" w:rsidR="004337E6" w:rsidRPr="002812B0" w:rsidRDefault="004337E6" w:rsidP="008975E4">
            <w:pPr>
              <w:ind w:right="-111"/>
              <w:jc w:val="left"/>
              <w:rPr>
                <w:rFonts w:cstheme="minorHAnsi"/>
                <w:sz w:val="18"/>
                <w:szCs w:val="18"/>
              </w:rPr>
            </w:pPr>
            <w:r w:rsidRPr="002812B0">
              <w:rPr>
                <w:rFonts w:cstheme="minorHAnsi"/>
                <w:sz w:val="18"/>
                <w:szCs w:val="18"/>
              </w:rPr>
              <w:t>UK</w:t>
            </w:r>
          </w:p>
        </w:tc>
        <w:tc>
          <w:tcPr>
            <w:tcW w:w="992" w:type="dxa"/>
            <w:gridSpan w:val="2"/>
            <w:tcBorders>
              <w:top w:val="nil"/>
              <w:left w:val="single" w:sz="4" w:space="0" w:color="auto"/>
              <w:bottom w:val="nil"/>
              <w:right w:val="nil"/>
            </w:tcBorders>
            <w:shd w:val="clear" w:color="auto" w:fill="auto"/>
            <w:noWrap/>
            <w:vAlign w:val="bottom"/>
            <w:hideMark/>
          </w:tcPr>
          <w:p w14:paraId="1E413FCC" w14:textId="77777777" w:rsidR="004337E6" w:rsidRPr="002812B0" w:rsidRDefault="004337E6" w:rsidP="008975E4">
            <w:pPr>
              <w:jc w:val="right"/>
              <w:rPr>
                <w:rFonts w:cstheme="minorHAnsi"/>
                <w:sz w:val="18"/>
                <w:szCs w:val="18"/>
              </w:rPr>
            </w:pPr>
            <w:r w:rsidRPr="002812B0">
              <w:rPr>
                <w:rFonts w:cstheme="minorHAnsi"/>
                <w:sz w:val="18"/>
                <w:szCs w:val="18"/>
              </w:rPr>
              <w:t>75.34</w:t>
            </w:r>
          </w:p>
        </w:tc>
        <w:tc>
          <w:tcPr>
            <w:tcW w:w="992" w:type="dxa"/>
            <w:gridSpan w:val="2"/>
            <w:tcBorders>
              <w:top w:val="nil"/>
              <w:left w:val="nil"/>
              <w:bottom w:val="nil"/>
              <w:right w:val="nil"/>
            </w:tcBorders>
            <w:shd w:val="clear" w:color="auto" w:fill="auto"/>
            <w:noWrap/>
            <w:vAlign w:val="bottom"/>
            <w:hideMark/>
          </w:tcPr>
          <w:p w14:paraId="48392763" w14:textId="77777777" w:rsidR="004337E6" w:rsidRPr="002812B0" w:rsidRDefault="004337E6" w:rsidP="008975E4">
            <w:pPr>
              <w:jc w:val="right"/>
              <w:rPr>
                <w:rFonts w:cstheme="minorHAnsi"/>
                <w:sz w:val="18"/>
                <w:szCs w:val="18"/>
              </w:rPr>
            </w:pPr>
            <w:r w:rsidRPr="002812B0">
              <w:rPr>
                <w:rFonts w:cstheme="minorHAnsi"/>
                <w:sz w:val="18"/>
                <w:szCs w:val="18"/>
              </w:rPr>
              <w:t>5.46</w:t>
            </w:r>
          </w:p>
        </w:tc>
        <w:tc>
          <w:tcPr>
            <w:tcW w:w="851" w:type="dxa"/>
            <w:gridSpan w:val="2"/>
            <w:tcBorders>
              <w:top w:val="nil"/>
              <w:left w:val="nil"/>
              <w:bottom w:val="nil"/>
              <w:right w:val="nil"/>
            </w:tcBorders>
            <w:shd w:val="clear" w:color="auto" w:fill="auto"/>
            <w:noWrap/>
            <w:vAlign w:val="bottom"/>
            <w:hideMark/>
          </w:tcPr>
          <w:p w14:paraId="53A8D63B" w14:textId="77777777" w:rsidR="004337E6" w:rsidRPr="002812B0" w:rsidRDefault="004337E6" w:rsidP="008975E4">
            <w:pPr>
              <w:jc w:val="right"/>
              <w:rPr>
                <w:rFonts w:cstheme="minorHAnsi"/>
                <w:b/>
                <w:bCs/>
                <w:sz w:val="18"/>
                <w:szCs w:val="18"/>
              </w:rPr>
            </w:pPr>
            <w:r w:rsidRPr="002812B0">
              <w:rPr>
                <w:rFonts w:cstheme="minorHAnsi"/>
                <w:b/>
                <w:bCs/>
                <w:sz w:val="18"/>
                <w:szCs w:val="18"/>
              </w:rPr>
              <w:t>80.80</w:t>
            </w:r>
          </w:p>
        </w:tc>
        <w:tc>
          <w:tcPr>
            <w:tcW w:w="709" w:type="dxa"/>
            <w:gridSpan w:val="2"/>
            <w:tcBorders>
              <w:top w:val="nil"/>
              <w:left w:val="nil"/>
              <w:bottom w:val="nil"/>
              <w:right w:val="nil"/>
            </w:tcBorders>
            <w:shd w:val="clear" w:color="auto" w:fill="auto"/>
            <w:noWrap/>
            <w:vAlign w:val="bottom"/>
            <w:hideMark/>
          </w:tcPr>
          <w:p w14:paraId="0F2F8A66" w14:textId="77777777" w:rsidR="004337E6" w:rsidRPr="002812B0" w:rsidRDefault="004337E6" w:rsidP="008975E4">
            <w:pPr>
              <w:jc w:val="right"/>
              <w:rPr>
                <w:rFonts w:cstheme="minorHAnsi"/>
                <w:sz w:val="18"/>
                <w:szCs w:val="18"/>
              </w:rPr>
            </w:pPr>
            <w:r w:rsidRPr="002812B0">
              <w:rPr>
                <w:rFonts w:cstheme="minorHAnsi"/>
                <w:sz w:val="18"/>
                <w:szCs w:val="18"/>
              </w:rPr>
              <w:t>1.87</w:t>
            </w:r>
          </w:p>
        </w:tc>
        <w:tc>
          <w:tcPr>
            <w:tcW w:w="817" w:type="dxa"/>
            <w:gridSpan w:val="2"/>
            <w:tcBorders>
              <w:top w:val="nil"/>
              <w:left w:val="nil"/>
              <w:bottom w:val="nil"/>
              <w:right w:val="nil"/>
            </w:tcBorders>
            <w:shd w:val="clear" w:color="auto" w:fill="auto"/>
            <w:noWrap/>
            <w:vAlign w:val="bottom"/>
            <w:hideMark/>
          </w:tcPr>
          <w:p w14:paraId="2DDD3349" w14:textId="77777777" w:rsidR="004337E6" w:rsidRPr="002812B0" w:rsidRDefault="004337E6" w:rsidP="008975E4">
            <w:pPr>
              <w:jc w:val="right"/>
              <w:rPr>
                <w:rFonts w:cstheme="minorHAnsi"/>
                <w:sz w:val="18"/>
                <w:szCs w:val="18"/>
              </w:rPr>
            </w:pPr>
            <w:r w:rsidRPr="002812B0">
              <w:rPr>
                <w:rFonts w:cstheme="minorHAnsi"/>
                <w:sz w:val="18"/>
                <w:szCs w:val="18"/>
              </w:rPr>
              <w:t>10.54</w:t>
            </w:r>
          </w:p>
        </w:tc>
        <w:tc>
          <w:tcPr>
            <w:tcW w:w="659" w:type="dxa"/>
            <w:tcBorders>
              <w:top w:val="nil"/>
              <w:left w:val="nil"/>
              <w:bottom w:val="nil"/>
              <w:right w:val="nil"/>
            </w:tcBorders>
            <w:shd w:val="clear" w:color="auto" w:fill="auto"/>
            <w:noWrap/>
            <w:vAlign w:val="bottom"/>
            <w:hideMark/>
          </w:tcPr>
          <w:p w14:paraId="1A055542" w14:textId="77777777" w:rsidR="004337E6" w:rsidRPr="002812B0" w:rsidRDefault="004337E6" w:rsidP="008975E4">
            <w:pPr>
              <w:jc w:val="right"/>
              <w:rPr>
                <w:rFonts w:cstheme="minorHAnsi"/>
                <w:sz w:val="18"/>
                <w:szCs w:val="18"/>
              </w:rPr>
            </w:pPr>
            <w:r w:rsidRPr="002812B0">
              <w:rPr>
                <w:rFonts w:cstheme="minorHAnsi"/>
                <w:sz w:val="18"/>
                <w:szCs w:val="18"/>
              </w:rPr>
              <w:t>6.58</w:t>
            </w:r>
          </w:p>
        </w:tc>
        <w:tc>
          <w:tcPr>
            <w:tcW w:w="933" w:type="dxa"/>
            <w:gridSpan w:val="2"/>
            <w:tcBorders>
              <w:top w:val="nil"/>
              <w:left w:val="nil"/>
              <w:bottom w:val="nil"/>
              <w:right w:val="nil"/>
            </w:tcBorders>
            <w:shd w:val="clear" w:color="auto" w:fill="auto"/>
            <w:noWrap/>
            <w:vAlign w:val="bottom"/>
            <w:hideMark/>
          </w:tcPr>
          <w:p w14:paraId="59A4815E" w14:textId="77777777" w:rsidR="004337E6" w:rsidRPr="002812B0" w:rsidRDefault="004337E6" w:rsidP="008975E4">
            <w:pPr>
              <w:jc w:val="right"/>
              <w:rPr>
                <w:rFonts w:cstheme="minorHAnsi"/>
                <w:b/>
                <w:bCs/>
                <w:sz w:val="18"/>
                <w:szCs w:val="18"/>
              </w:rPr>
            </w:pPr>
            <w:r w:rsidRPr="002812B0">
              <w:rPr>
                <w:rFonts w:cstheme="minorHAnsi"/>
                <w:b/>
                <w:bCs/>
                <w:sz w:val="18"/>
                <w:szCs w:val="18"/>
              </w:rPr>
              <w:t>18.99</w:t>
            </w:r>
          </w:p>
        </w:tc>
        <w:tc>
          <w:tcPr>
            <w:tcW w:w="709" w:type="dxa"/>
            <w:tcBorders>
              <w:top w:val="nil"/>
              <w:left w:val="nil"/>
              <w:bottom w:val="nil"/>
              <w:right w:val="single" w:sz="4" w:space="0" w:color="auto"/>
            </w:tcBorders>
            <w:shd w:val="clear" w:color="auto" w:fill="auto"/>
            <w:noWrap/>
            <w:vAlign w:val="bottom"/>
            <w:hideMark/>
          </w:tcPr>
          <w:p w14:paraId="1703DC6D" w14:textId="77777777" w:rsidR="004337E6" w:rsidRPr="002812B0" w:rsidRDefault="004337E6" w:rsidP="008975E4">
            <w:pPr>
              <w:jc w:val="right"/>
              <w:rPr>
                <w:rFonts w:cstheme="minorHAnsi"/>
                <w:sz w:val="18"/>
                <w:szCs w:val="18"/>
              </w:rPr>
            </w:pPr>
            <w:r w:rsidRPr="002812B0">
              <w:rPr>
                <w:rFonts w:cstheme="minorHAnsi"/>
                <w:sz w:val="18"/>
                <w:szCs w:val="18"/>
              </w:rPr>
              <w:t>0.22</w:t>
            </w:r>
          </w:p>
        </w:tc>
        <w:tc>
          <w:tcPr>
            <w:tcW w:w="989" w:type="dxa"/>
            <w:gridSpan w:val="2"/>
            <w:tcBorders>
              <w:top w:val="nil"/>
              <w:left w:val="nil"/>
              <w:bottom w:val="nil"/>
              <w:right w:val="nil"/>
            </w:tcBorders>
            <w:shd w:val="clear" w:color="auto" w:fill="auto"/>
            <w:noWrap/>
            <w:vAlign w:val="center"/>
            <w:hideMark/>
          </w:tcPr>
          <w:p w14:paraId="0A2BFCF2" w14:textId="77777777" w:rsidR="004337E6" w:rsidRPr="002812B0" w:rsidRDefault="004337E6" w:rsidP="008975E4">
            <w:pPr>
              <w:jc w:val="right"/>
              <w:rPr>
                <w:rFonts w:cstheme="minorHAnsi"/>
                <w:sz w:val="18"/>
                <w:szCs w:val="18"/>
              </w:rPr>
            </w:pPr>
            <w:r w:rsidRPr="002812B0">
              <w:rPr>
                <w:rFonts w:cstheme="minorHAnsi"/>
                <w:sz w:val="18"/>
                <w:szCs w:val="18"/>
              </w:rPr>
              <w:t>74.00</w:t>
            </w:r>
          </w:p>
        </w:tc>
        <w:tc>
          <w:tcPr>
            <w:tcW w:w="894" w:type="dxa"/>
            <w:gridSpan w:val="2"/>
            <w:tcBorders>
              <w:top w:val="nil"/>
              <w:left w:val="nil"/>
              <w:bottom w:val="nil"/>
              <w:right w:val="nil"/>
            </w:tcBorders>
            <w:shd w:val="clear" w:color="auto" w:fill="auto"/>
            <w:noWrap/>
            <w:vAlign w:val="center"/>
            <w:hideMark/>
          </w:tcPr>
          <w:p w14:paraId="54937DFE" w14:textId="77777777" w:rsidR="004337E6" w:rsidRPr="002812B0" w:rsidRDefault="004337E6" w:rsidP="008975E4">
            <w:pPr>
              <w:jc w:val="right"/>
              <w:rPr>
                <w:rFonts w:cstheme="minorHAnsi"/>
                <w:sz w:val="18"/>
                <w:szCs w:val="18"/>
              </w:rPr>
            </w:pPr>
            <w:r w:rsidRPr="002812B0">
              <w:rPr>
                <w:rFonts w:cstheme="minorHAnsi"/>
                <w:sz w:val="18"/>
                <w:szCs w:val="18"/>
              </w:rPr>
              <w:t>7.80</w:t>
            </w:r>
          </w:p>
        </w:tc>
        <w:tc>
          <w:tcPr>
            <w:tcW w:w="690" w:type="dxa"/>
            <w:gridSpan w:val="2"/>
            <w:tcBorders>
              <w:top w:val="nil"/>
              <w:left w:val="nil"/>
              <w:bottom w:val="nil"/>
              <w:right w:val="nil"/>
            </w:tcBorders>
            <w:shd w:val="clear" w:color="auto" w:fill="auto"/>
            <w:noWrap/>
            <w:vAlign w:val="center"/>
            <w:hideMark/>
          </w:tcPr>
          <w:p w14:paraId="39556E50" w14:textId="77777777" w:rsidR="004337E6" w:rsidRPr="002812B0" w:rsidRDefault="004337E6" w:rsidP="008975E4">
            <w:pPr>
              <w:jc w:val="right"/>
              <w:rPr>
                <w:rFonts w:cstheme="minorHAnsi"/>
                <w:b/>
                <w:bCs/>
                <w:sz w:val="18"/>
                <w:szCs w:val="18"/>
              </w:rPr>
            </w:pPr>
            <w:r w:rsidRPr="002812B0">
              <w:rPr>
                <w:rFonts w:cstheme="minorHAnsi"/>
                <w:b/>
                <w:bCs/>
                <w:sz w:val="18"/>
                <w:szCs w:val="18"/>
              </w:rPr>
              <w:t>81.80</w:t>
            </w:r>
          </w:p>
        </w:tc>
        <w:tc>
          <w:tcPr>
            <w:tcW w:w="974" w:type="dxa"/>
            <w:gridSpan w:val="2"/>
            <w:tcBorders>
              <w:top w:val="nil"/>
              <w:left w:val="nil"/>
              <w:bottom w:val="nil"/>
              <w:right w:val="nil"/>
            </w:tcBorders>
            <w:shd w:val="clear" w:color="auto" w:fill="auto"/>
            <w:noWrap/>
            <w:vAlign w:val="center"/>
            <w:hideMark/>
          </w:tcPr>
          <w:p w14:paraId="1D75C244" w14:textId="77777777" w:rsidR="004337E6" w:rsidRPr="002812B0" w:rsidRDefault="004337E6" w:rsidP="008975E4">
            <w:pPr>
              <w:jc w:val="right"/>
              <w:rPr>
                <w:rFonts w:cstheme="minorHAnsi"/>
                <w:sz w:val="18"/>
                <w:szCs w:val="18"/>
              </w:rPr>
            </w:pPr>
            <w:r w:rsidRPr="002812B0">
              <w:rPr>
                <w:rFonts w:cstheme="minorHAnsi"/>
                <w:sz w:val="18"/>
                <w:szCs w:val="18"/>
              </w:rPr>
              <w:t>4.37</w:t>
            </w:r>
          </w:p>
        </w:tc>
        <w:tc>
          <w:tcPr>
            <w:tcW w:w="894" w:type="dxa"/>
            <w:gridSpan w:val="2"/>
            <w:tcBorders>
              <w:top w:val="nil"/>
              <w:left w:val="nil"/>
              <w:bottom w:val="nil"/>
              <w:right w:val="nil"/>
            </w:tcBorders>
            <w:shd w:val="clear" w:color="auto" w:fill="auto"/>
            <w:noWrap/>
            <w:vAlign w:val="center"/>
            <w:hideMark/>
          </w:tcPr>
          <w:p w14:paraId="49AA5DF4" w14:textId="77777777" w:rsidR="004337E6" w:rsidRPr="002812B0" w:rsidRDefault="004337E6" w:rsidP="008975E4">
            <w:pPr>
              <w:jc w:val="right"/>
              <w:rPr>
                <w:rFonts w:cstheme="minorHAnsi"/>
                <w:sz w:val="18"/>
                <w:szCs w:val="18"/>
              </w:rPr>
            </w:pPr>
            <w:r w:rsidRPr="002812B0">
              <w:rPr>
                <w:rFonts w:cstheme="minorHAnsi"/>
                <w:sz w:val="18"/>
                <w:szCs w:val="18"/>
              </w:rPr>
              <w:t>8.63</w:t>
            </w:r>
          </w:p>
        </w:tc>
        <w:tc>
          <w:tcPr>
            <w:tcW w:w="659" w:type="dxa"/>
            <w:gridSpan w:val="2"/>
            <w:tcBorders>
              <w:top w:val="nil"/>
              <w:left w:val="nil"/>
              <w:bottom w:val="nil"/>
              <w:right w:val="nil"/>
            </w:tcBorders>
            <w:shd w:val="clear" w:color="auto" w:fill="auto"/>
            <w:noWrap/>
            <w:vAlign w:val="center"/>
            <w:hideMark/>
          </w:tcPr>
          <w:p w14:paraId="27E33CC6" w14:textId="77777777" w:rsidR="004337E6" w:rsidRPr="002812B0" w:rsidRDefault="004337E6" w:rsidP="008975E4">
            <w:pPr>
              <w:jc w:val="right"/>
              <w:rPr>
                <w:rFonts w:cstheme="minorHAnsi"/>
                <w:sz w:val="18"/>
                <w:szCs w:val="18"/>
              </w:rPr>
            </w:pPr>
            <w:r w:rsidRPr="002812B0">
              <w:rPr>
                <w:rFonts w:cstheme="minorHAnsi"/>
                <w:sz w:val="18"/>
                <w:szCs w:val="18"/>
              </w:rPr>
              <w:t>4.73</w:t>
            </w:r>
          </w:p>
        </w:tc>
        <w:tc>
          <w:tcPr>
            <w:tcW w:w="854" w:type="dxa"/>
            <w:tcBorders>
              <w:top w:val="nil"/>
              <w:left w:val="nil"/>
              <w:bottom w:val="nil"/>
              <w:right w:val="nil"/>
            </w:tcBorders>
            <w:shd w:val="clear" w:color="auto" w:fill="auto"/>
            <w:noWrap/>
            <w:vAlign w:val="center"/>
            <w:hideMark/>
          </w:tcPr>
          <w:p w14:paraId="539F3751" w14:textId="77777777" w:rsidR="004337E6" w:rsidRPr="002812B0" w:rsidRDefault="004337E6" w:rsidP="008975E4">
            <w:pPr>
              <w:jc w:val="right"/>
              <w:rPr>
                <w:rFonts w:cstheme="minorHAnsi"/>
                <w:b/>
                <w:bCs/>
                <w:sz w:val="18"/>
                <w:szCs w:val="18"/>
              </w:rPr>
            </w:pPr>
            <w:r w:rsidRPr="002812B0">
              <w:rPr>
                <w:rFonts w:cstheme="minorHAnsi"/>
                <w:b/>
                <w:bCs/>
                <w:sz w:val="18"/>
                <w:szCs w:val="18"/>
              </w:rPr>
              <w:t>17.73</w:t>
            </w:r>
          </w:p>
        </w:tc>
        <w:tc>
          <w:tcPr>
            <w:tcW w:w="792" w:type="dxa"/>
            <w:tcBorders>
              <w:top w:val="nil"/>
              <w:left w:val="nil"/>
              <w:bottom w:val="nil"/>
              <w:right w:val="single" w:sz="4" w:space="0" w:color="auto"/>
            </w:tcBorders>
            <w:shd w:val="clear" w:color="auto" w:fill="auto"/>
            <w:noWrap/>
            <w:vAlign w:val="center"/>
            <w:hideMark/>
          </w:tcPr>
          <w:p w14:paraId="1E1A11E5" w14:textId="77777777" w:rsidR="004337E6" w:rsidRPr="002812B0" w:rsidRDefault="004337E6" w:rsidP="008975E4">
            <w:pPr>
              <w:jc w:val="right"/>
              <w:rPr>
                <w:rFonts w:cstheme="minorHAnsi"/>
                <w:sz w:val="18"/>
                <w:szCs w:val="18"/>
              </w:rPr>
            </w:pPr>
            <w:r w:rsidRPr="002812B0">
              <w:rPr>
                <w:rFonts w:cstheme="minorHAnsi"/>
                <w:sz w:val="18"/>
                <w:szCs w:val="18"/>
              </w:rPr>
              <w:t>0.47</w:t>
            </w:r>
          </w:p>
        </w:tc>
      </w:tr>
      <w:tr w:rsidR="004337E6" w:rsidRPr="002812B0" w14:paraId="718453D8" w14:textId="77777777" w:rsidTr="008975E4">
        <w:trPr>
          <w:trHeight w:hRule="exact" w:val="284"/>
        </w:trPr>
        <w:tc>
          <w:tcPr>
            <w:tcW w:w="1452" w:type="dxa"/>
            <w:tcBorders>
              <w:top w:val="nil"/>
              <w:left w:val="single" w:sz="4" w:space="0" w:color="auto"/>
              <w:bottom w:val="nil"/>
              <w:right w:val="single" w:sz="4" w:space="0" w:color="auto"/>
            </w:tcBorders>
            <w:shd w:val="clear" w:color="auto" w:fill="auto"/>
            <w:noWrap/>
            <w:vAlign w:val="bottom"/>
            <w:hideMark/>
          </w:tcPr>
          <w:p w14:paraId="055024E0" w14:textId="77777777" w:rsidR="004337E6" w:rsidRPr="002812B0" w:rsidRDefault="004337E6" w:rsidP="008975E4">
            <w:pPr>
              <w:rPr>
                <w:rFonts w:cstheme="minorHAnsi"/>
                <w:sz w:val="18"/>
                <w:szCs w:val="18"/>
              </w:rPr>
            </w:pPr>
            <w:r w:rsidRPr="002812B0">
              <w:rPr>
                <w:rFonts w:cstheme="minorHAnsi"/>
                <w:sz w:val="18"/>
                <w:szCs w:val="18"/>
              </w:rPr>
              <w:t>Portugal</w:t>
            </w:r>
          </w:p>
        </w:tc>
        <w:tc>
          <w:tcPr>
            <w:tcW w:w="425" w:type="dxa"/>
            <w:tcBorders>
              <w:top w:val="nil"/>
              <w:left w:val="nil"/>
              <w:bottom w:val="nil"/>
              <w:right w:val="nil"/>
            </w:tcBorders>
            <w:shd w:val="clear" w:color="auto" w:fill="auto"/>
            <w:noWrap/>
            <w:vAlign w:val="bottom"/>
            <w:hideMark/>
          </w:tcPr>
          <w:p w14:paraId="6EA35A46" w14:textId="77777777" w:rsidR="004337E6" w:rsidRPr="002812B0" w:rsidRDefault="004337E6" w:rsidP="008975E4">
            <w:pPr>
              <w:ind w:right="-111"/>
              <w:jc w:val="left"/>
              <w:rPr>
                <w:rFonts w:cstheme="minorHAnsi"/>
                <w:sz w:val="18"/>
                <w:szCs w:val="18"/>
              </w:rPr>
            </w:pPr>
            <w:r w:rsidRPr="002812B0">
              <w:rPr>
                <w:rFonts w:cstheme="minorHAnsi"/>
                <w:sz w:val="18"/>
                <w:szCs w:val="18"/>
              </w:rPr>
              <w:t>PT</w:t>
            </w:r>
          </w:p>
        </w:tc>
        <w:tc>
          <w:tcPr>
            <w:tcW w:w="992" w:type="dxa"/>
            <w:gridSpan w:val="2"/>
            <w:tcBorders>
              <w:top w:val="nil"/>
              <w:left w:val="single" w:sz="4" w:space="0" w:color="auto"/>
              <w:bottom w:val="nil"/>
              <w:right w:val="nil"/>
            </w:tcBorders>
            <w:shd w:val="clear" w:color="auto" w:fill="auto"/>
            <w:noWrap/>
            <w:vAlign w:val="bottom"/>
            <w:hideMark/>
          </w:tcPr>
          <w:p w14:paraId="0BCB126A" w14:textId="77777777" w:rsidR="004337E6" w:rsidRPr="002812B0" w:rsidRDefault="004337E6" w:rsidP="008975E4">
            <w:pPr>
              <w:jc w:val="right"/>
              <w:rPr>
                <w:rFonts w:cstheme="minorHAnsi"/>
                <w:sz w:val="18"/>
                <w:szCs w:val="18"/>
              </w:rPr>
            </w:pPr>
            <w:r w:rsidRPr="002812B0">
              <w:rPr>
                <w:rFonts w:cstheme="minorHAnsi"/>
                <w:sz w:val="18"/>
                <w:szCs w:val="18"/>
              </w:rPr>
              <w:t>68.25</w:t>
            </w:r>
          </w:p>
        </w:tc>
        <w:tc>
          <w:tcPr>
            <w:tcW w:w="992" w:type="dxa"/>
            <w:gridSpan w:val="2"/>
            <w:tcBorders>
              <w:top w:val="nil"/>
              <w:left w:val="nil"/>
              <w:bottom w:val="nil"/>
              <w:right w:val="nil"/>
            </w:tcBorders>
            <w:shd w:val="clear" w:color="auto" w:fill="auto"/>
            <w:noWrap/>
            <w:vAlign w:val="bottom"/>
            <w:hideMark/>
          </w:tcPr>
          <w:p w14:paraId="088E1E0A" w14:textId="77777777" w:rsidR="004337E6" w:rsidRPr="002812B0" w:rsidRDefault="004337E6" w:rsidP="008975E4">
            <w:pPr>
              <w:jc w:val="right"/>
              <w:rPr>
                <w:rFonts w:cstheme="minorHAnsi"/>
                <w:sz w:val="18"/>
                <w:szCs w:val="18"/>
              </w:rPr>
            </w:pPr>
            <w:r w:rsidRPr="002812B0">
              <w:rPr>
                <w:rFonts w:cstheme="minorHAnsi"/>
                <w:sz w:val="18"/>
                <w:szCs w:val="18"/>
              </w:rPr>
              <w:t>12.26</w:t>
            </w:r>
          </w:p>
        </w:tc>
        <w:tc>
          <w:tcPr>
            <w:tcW w:w="851" w:type="dxa"/>
            <w:gridSpan w:val="2"/>
            <w:tcBorders>
              <w:top w:val="nil"/>
              <w:left w:val="nil"/>
              <w:bottom w:val="nil"/>
              <w:right w:val="nil"/>
            </w:tcBorders>
            <w:shd w:val="clear" w:color="auto" w:fill="auto"/>
            <w:noWrap/>
            <w:vAlign w:val="bottom"/>
            <w:hideMark/>
          </w:tcPr>
          <w:p w14:paraId="4F231B95" w14:textId="77777777" w:rsidR="004337E6" w:rsidRPr="002812B0" w:rsidRDefault="004337E6" w:rsidP="008975E4">
            <w:pPr>
              <w:jc w:val="right"/>
              <w:rPr>
                <w:rFonts w:cstheme="minorHAnsi"/>
                <w:b/>
                <w:bCs/>
                <w:sz w:val="18"/>
                <w:szCs w:val="18"/>
              </w:rPr>
            </w:pPr>
            <w:r w:rsidRPr="002812B0">
              <w:rPr>
                <w:rFonts w:cstheme="minorHAnsi"/>
                <w:b/>
                <w:bCs/>
                <w:sz w:val="18"/>
                <w:szCs w:val="18"/>
              </w:rPr>
              <w:t>80.51</w:t>
            </w:r>
          </w:p>
        </w:tc>
        <w:tc>
          <w:tcPr>
            <w:tcW w:w="709" w:type="dxa"/>
            <w:gridSpan w:val="2"/>
            <w:tcBorders>
              <w:top w:val="nil"/>
              <w:left w:val="nil"/>
              <w:bottom w:val="nil"/>
              <w:right w:val="nil"/>
            </w:tcBorders>
            <w:shd w:val="clear" w:color="auto" w:fill="auto"/>
            <w:noWrap/>
            <w:vAlign w:val="bottom"/>
            <w:hideMark/>
          </w:tcPr>
          <w:p w14:paraId="10E5F494" w14:textId="77777777" w:rsidR="004337E6" w:rsidRPr="002812B0" w:rsidRDefault="004337E6" w:rsidP="008975E4">
            <w:pPr>
              <w:jc w:val="right"/>
              <w:rPr>
                <w:rFonts w:cstheme="minorHAnsi"/>
                <w:sz w:val="18"/>
                <w:szCs w:val="18"/>
              </w:rPr>
            </w:pPr>
            <w:r w:rsidRPr="002812B0">
              <w:rPr>
                <w:rFonts w:cstheme="minorHAnsi"/>
                <w:sz w:val="18"/>
                <w:szCs w:val="18"/>
              </w:rPr>
              <w:t>6.68</w:t>
            </w:r>
          </w:p>
        </w:tc>
        <w:tc>
          <w:tcPr>
            <w:tcW w:w="817" w:type="dxa"/>
            <w:gridSpan w:val="2"/>
            <w:tcBorders>
              <w:top w:val="nil"/>
              <w:left w:val="nil"/>
              <w:bottom w:val="nil"/>
              <w:right w:val="nil"/>
            </w:tcBorders>
            <w:shd w:val="clear" w:color="auto" w:fill="auto"/>
            <w:noWrap/>
            <w:vAlign w:val="bottom"/>
            <w:hideMark/>
          </w:tcPr>
          <w:p w14:paraId="60E49640" w14:textId="77777777" w:rsidR="004337E6" w:rsidRPr="002812B0" w:rsidRDefault="004337E6" w:rsidP="008975E4">
            <w:pPr>
              <w:jc w:val="right"/>
              <w:rPr>
                <w:rFonts w:cstheme="minorHAnsi"/>
                <w:sz w:val="18"/>
                <w:szCs w:val="18"/>
              </w:rPr>
            </w:pPr>
            <w:r w:rsidRPr="002812B0">
              <w:rPr>
                <w:rFonts w:cstheme="minorHAnsi"/>
                <w:sz w:val="18"/>
                <w:szCs w:val="18"/>
              </w:rPr>
              <w:t>5.03</w:t>
            </w:r>
          </w:p>
        </w:tc>
        <w:tc>
          <w:tcPr>
            <w:tcW w:w="659" w:type="dxa"/>
            <w:tcBorders>
              <w:top w:val="nil"/>
              <w:left w:val="nil"/>
              <w:bottom w:val="nil"/>
              <w:right w:val="nil"/>
            </w:tcBorders>
            <w:shd w:val="clear" w:color="auto" w:fill="auto"/>
            <w:noWrap/>
            <w:vAlign w:val="bottom"/>
            <w:hideMark/>
          </w:tcPr>
          <w:p w14:paraId="3C64EFD7" w14:textId="77777777" w:rsidR="004337E6" w:rsidRPr="002812B0" w:rsidRDefault="004337E6" w:rsidP="008975E4">
            <w:pPr>
              <w:jc w:val="right"/>
              <w:rPr>
                <w:rFonts w:cstheme="minorHAnsi"/>
                <w:sz w:val="18"/>
                <w:szCs w:val="18"/>
              </w:rPr>
            </w:pPr>
            <w:r w:rsidRPr="002812B0">
              <w:rPr>
                <w:rFonts w:cstheme="minorHAnsi"/>
                <w:sz w:val="18"/>
                <w:szCs w:val="18"/>
              </w:rPr>
              <w:t>6.77</w:t>
            </w:r>
          </w:p>
        </w:tc>
        <w:tc>
          <w:tcPr>
            <w:tcW w:w="933" w:type="dxa"/>
            <w:gridSpan w:val="2"/>
            <w:tcBorders>
              <w:top w:val="nil"/>
              <w:left w:val="nil"/>
              <w:bottom w:val="nil"/>
              <w:right w:val="nil"/>
            </w:tcBorders>
            <w:shd w:val="clear" w:color="auto" w:fill="auto"/>
            <w:noWrap/>
            <w:vAlign w:val="bottom"/>
            <w:hideMark/>
          </w:tcPr>
          <w:p w14:paraId="0751D5BD" w14:textId="77777777" w:rsidR="004337E6" w:rsidRPr="002812B0" w:rsidRDefault="004337E6" w:rsidP="008975E4">
            <w:pPr>
              <w:jc w:val="right"/>
              <w:rPr>
                <w:rFonts w:cstheme="minorHAnsi"/>
                <w:b/>
                <w:bCs/>
                <w:sz w:val="18"/>
                <w:szCs w:val="18"/>
              </w:rPr>
            </w:pPr>
            <w:r w:rsidRPr="002812B0">
              <w:rPr>
                <w:rFonts w:cstheme="minorHAnsi"/>
                <w:b/>
                <w:bCs/>
                <w:sz w:val="18"/>
                <w:szCs w:val="18"/>
              </w:rPr>
              <w:t>18.48</w:t>
            </w:r>
          </w:p>
        </w:tc>
        <w:tc>
          <w:tcPr>
            <w:tcW w:w="709" w:type="dxa"/>
            <w:tcBorders>
              <w:top w:val="nil"/>
              <w:left w:val="nil"/>
              <w:bottom w:val="nil"/>
              <w:right w:val="single" w:sz="4" w:space="0" w:color="auto"/>
            </w:tcBorders>
            <w:shd w:val="clear" w:color="auto" w:fill="auto"/>
            <w:noWrap/>
            <w:vAlign w:val="bottom"/>
            <w:hideMark/>
          </w:tcPr>
          <w:p w14:paraId="698163D6" w14:textId="77777777" w:rsidR="004337E6" w:rsidRPr="002812B0" w:rsidRDefault="004337E6" w:rsidP="008975E4">
            <w:pPr>
              <w:jc w:val="right"/>
              <w:rPr>
                <w:rFonts w:cstheme="minorHAnsi"/>
                <w:sz w:val="18"/>
                <w:szCs w:val="18"/>
              </w:rPr>
            </w:pPr>
            <w:r w:rsidRPr="002812B0">
              <w:rPr>
                <w:rFonts w:cstheme="minorHAnsi"/>
                <w:sz w:val="18"/>
                <w:szCs w:val="18"/>
              </w:rPr>
              <w:t>1.01</w:t>
            </w:r>
          </w:p>
        </w:tc>
        <w:tc>
          <w:tcPr>
            <w:tcW w:w="989" w:type="dxa"/>
            <w:gridSpan w:val="2"/>
            <w:tcBorders>
              <w:top w:val="nil"/>
              <w:left w:val="nil"/>
              <w:bottom w:val="nil"/>
              <w:right w:val="nil"/>
            </w:tcBorders>
            <w:shd w:val="clear" w:color="auto" w:fill="auto"/>
            <w:noWrap/>
            <w:vAlign w:val="center"/>
            <w:hideMark/>
          </w:tcPr>
          <w:p w14:paraId="23E00114" w14:textId="77777777" w:rsidR="004337E6" w:rsidRPr="002812B0" w:rsidRDefault="004337E6" w:rsidP="008975E4">
            <w:pPr>
              <w:jc w:val="right"/>
              <w:rPr>
                <w:rFonts w:cstheme="minorHAnsi"/>
                <w:sz w:val="18"/>
                <w:szCs w:val="18"/>
              </w:rPr>
            </w:pPr>
            <w:r w:rsidRPr="002812B0">
              <w:rPr>
                <w:rFonts w:cstheme="minorHAnsi"/>
                <w:sz w:val="18"/>
                <w:szCs w:val="18"/>
              </w:rPr>
              <w:t>64.04</w:t>
            </w:r>
          </w:p>
        </w:tc>
        <w:tc>
          <w:tcPr>
            <w:tcW w:w="894" w:type="dxa"/>
            <w:gridSpan w:val="2"/>
            <w:tcBorders>
              <w:top w:val="nil"/>
              <w:left w:val="nil"/>
              <w:bottom w:val="nil"/>
              <w:right w:val="nil"/>
            </w:tcBorders>
            <w:shd w:val="clear" w:color="auto" w:fill="auto"/>
            <w:noWrap/>
            <w:vAlign w:val="center"/>
            <w:hideMark/>
          </w:tcPr>
          <w:p w14:paraId="63962B2A" w14:textId="77777777" w:rsidR="004337E6" w:rsidRPr="002812B0" w:rsidRDefault="004337E6" w:rsidP="008975E4">
            <w:pPr>
              <w:jc w:val="right"/>
              <w:rPr>
                <w:rFonts w:cstheme="minorHAnsi"/>
                <w:sz w:val="18"/>
                <w:szCs w:val="18"/>
              </w:rPr>
            </w:pPr>
            <w:r w:rsidRPr="002812B0">
              <w:rPr>
                <w:rFonts w:cstheme="minorHAnsi"/>
                <w:sz w:val="18"/>
                <w:szCs w:val="18"/>
              </w:rPr>
              <w:t>12.56</w:t>
            </w:r>
          </w:p>
        </w:tc>
        <w:tc>
          <w:tcPr>
            <w:tcW w:w="690" w:type="dxa"/>
            <w:gridSpan w:val="2"/>
            <w:tcBorders>
              <w:top w:val="nil"/>
              <w:left w:val="nil"/>
              <w:bottom w:val="nil"/>
              <w:right w:val="nil"/>
            </w:tcBorders>
            <w:shd w:val="clear" w:color="auto" w:fill="auto"/>
            <w:noWrap/>
            <w:vAlign w:val="center"/>
            <w:hideMark/>
          </w:tcPr>
          <w:p w14:paraId="1302CE5D" w14:textId="77777777" w:rsidR="004337E6" w:rsidRPr="002812B0" w:rsidRDefault="004337E6" w:rsidP="008975E4">
            <w:pPr>
              <w:jc w:val="right"/>
              <w:rPr>
                <w:rFonts w:cstheme="minorHAnsi"/>
                <w:b/>
                <w:bCs/>
                <w:sz w:val="18"/>
                <w:szCs w:val="18"/>
              </w:rPr>
            </w:pPr>
            <w:r w:rsidRPr="002812B0">
              <w:rPr>
                <w:rFonts w:cstheme="minorHAnsi"/>
                <w:b/>
                <w:bCs/>
                <w:sz w:val="18"/>
                <w:szCs w:val="18"/>
              </w:rPr>
              <w:t>76.60</w:t>
            </w:r>
          </w:p>
        </w:tc>
        <w:tc>
          <w:tcPr>
            <w:tcW w:w="974" w:type="dxa"/>
            <w:gridSpan w:val="2"/>
            <w:tcBorders>
              <w:top w:val="nil"/>
              <w:left w:val="nil"/>
              <w:bottom w:val="nil"/>
              <w:right w:val="nil"/>
            </w:tcBorders>
            <w:shd w:val="clear" w:color="auto" w:fill="auto"/>
            <w:noWrap/>
            <w:vAlign w:val="center"/>
            <w:hideMark/>
          </w:tcPr>
          <w:p w14:paraId="6DB39309" w14:textId="77777777" w:rsidR="004337E6" w:rsidRPr="002812B0" w:rsidRDefault="004337E6" w:rsidP="008975E4">
            <w:pPr>
              <w:jc w:val="right"/>
              <w:rPr>
                <w:rFonts w:cstheme="minorHAnsi"/>
                <w:sz w:val="18"/>
                <w:szCs w:val="18"/>
              </w:rPr>
            </w:pPr>
            <w:r w:rsidRPr="002812B0">
              <w:rPr>
                <w:rFonts w:cstheme="minorHAnsi"/>
                <w:sz w:val="18"/>
                <w:szCs w:val="18"/>
              </w:rPr>
              <w:t>15.99</w:t>
            </w:r>
          </w:p>
        </w:tc>
        <w:tc>
          <w:tcPr>
            <w:tcW w:w="894" w:type="dxa"/>
            <w:gridSpan w:val="2"/>
            <w:tcBorders>
              <w:top w:val="nil"/>
              <w:left w:val="nil"/>
              <w:bottom w:val="nil"/>
              <w:right w:val="nil"/>
            </w:tcBorders>
            <w:shd w:val="clear" w:color="auto" w:fill="auto"/>
            <w:noWrap/>
            <w:vAlign w:val="center"/>
            <w:hideMark/>
          </w:tcPr>
          <w:p w14:paraId="1D1CA487" w14:textId="77777777" w:rsidR="004337E6" w:rsidRPr="002812B0" w:rsidRDefault="004337E6" w:rsidP="008975E4">
            <w:pPr>
              <w:jc w:val="right"/>
              <w:rPr>
                <w:rFonts w:cstheme="minorHAnsi"/>
                <w:sz w:val="18"/>
                <w:szCs w:val="18"/>
              </w:rPr>
            </w:pPr>
            <w:r w:rsidRPr="002812B0">
              <w:rPr>
                <w:rFonts w:cstheme="minorHAnsi"/>
                <w:sz w:val="18"/>
                <w:szCs w:val="18"/>
              </w:rPr>
              <w:t>2.18</w:t>
            </w:r>
          </w:p>
        </w:tc>
        <w:tc>
          <w:tcPr>
            <w:tcW w:w="659" w:type="dxa"/>
            <w:gridSpan w:val="2"/>
            <w:tcBorders>
              <w:top w:val="nil"/>
              <w:left w:val="nil"/>
              <w:bottom w:val="nil"/>
              <w:right w:val="nil"/>
            </w:tcBorders>
            <w:shd w:val="clear" w:color="auto" w:fill="auto"/>
            <w:noWrap/>
            <w:vAlign w:val="center"/>
            <w:hideMark/>
          </w:tcPr>
          <w:p w14:paraId="6EE083DD" w14:textId="77777777" w:rsidR="004337E6" w:rsidRPr="002812B0" w:rsidRDefault="004337E6" w:rsidP="008975E4">
            <w:pPr>
              <w:jc w:val="right"/>
              <w:rPr>
                <w:rFonts w:cstheme="minorHAnsi"/>
                <w:sz w:val="18"/>
                <w:szCs w:val="18"/>
              </w:rPr>
            </w:pPr>
            <w:r w:rsidRPr="002812B0">
              <w:rPr>
                <w:rFonts w:cstheme="minorHAnsi"/>
                <w:sz w:val="18"/>
                <w:szCs w:val="18"/>
              </w:rPr>
              <w:t>3.98</w:t>
            </w:r>
          </w:p>
        </w:tc>
        <w:tc>
          <w:tcPr>
            <w:tcW w:w="854" w:type="dxa"/>
            <w:tcBorders>
              <w:top w:val="nil"/>
              <w:left w:val="nil"/>
              <w:bottom w:val="nil"/>
              <w:right w:val="nil"/>
            </w:tcBorders>
            <w:shd w:val="clear" w:color="auto" w:fill="auto"/>
            <w:noWrap/>
            <w:vAlign w:val="center"/>
            <w:hideMark/>
          </w:tcPr>
          <w:p w14:paraId="362FB7A9" w14:textId="77777777" w:rsidR="004337E6" w:rsidRPr="002812B0" w:rsidRDefault="004337E6" w:rsidP="008975E4">
            <w:pPr>
              <w:jc w:val="right"/>
              <w:rPr>
                <w:rFonts w:cstheme="minorHAnsi"/>
                <w:b/>
                <w:bCs/>
                <w:sz w:val="18"/>
                <w:szCs w:val="18"/>
              </w:rPr>
            </w:pPr>
            <w:r w:rsidRPr="002812B0">
              <w:rPr>
                <w:rFonts w:cstheme="minorHAnsi"/>
                <w:b/>
                <w:bCs/>
                <w:sz w:val="18"/>
                <w:szCs w:val="18"/>
              </w:rPr>
              <w:t>22.15</w:t>
            </w:r>
          </w:p>
        </w:tc>
        <w:tc>
          <w:tcPr>
            <w:tcW w:w="792" w:type="dxa"/>
            <w:tcBorders>
              <w:top w:val="nil"/>
              <w:left w:val="nil"/>
              <w:bottom w:val="nil"/>
              <w:right w:val="single" w:sz="4" w:space="0" w:color="auto"/>
            </w:tcBorders>
            <w:shd w:val="clear" w:color="auto" w:fill="auto"/>
            <w:noWrap/>
            <w:vAlign w:val="center"/>
            <w:hideMark/>
          </w:tcPr>
          <w:p w14:paraId="5FA5AA54" w14:textId="77777777" w:rsidR="004337E6" w:rsidRPr="002812B0" w:rsidRDefault="004337E6" w:rsidP="008975E4">
            <w:pPr>
              <w:jc w:val="right"/>
              <w:rPr>
                <w:rFonts w:cstheme="minorHAnsi"/>
                <w:sz w:val="18"/>
                <w:szCs w:val="18"/>
              </w:rPr>
            </w:pPr>
            <w:r w:rsidRPr="002812B0">
              <w:rPr>
                <w:rFonts w:cstheme="minorHAnsi"/>
                <w:sz w:val="18"/>
                <w:szCs w:val="18"/>
              </w:rPr>
              <w:t>1.25</w:t>
            </w:r>
          </w:p>
        </w:tc>
      </w:tr>
      <w:tr w:rsidR="004337E6" w:rsidRPr="002812B0" w14:paraId="754CDDE8" w14:textId="77777777" w:rsidTr="008975E4">
        <w:trPr>
          <w:trHeight w:hRule="exact" w:val="284"/>
        </w:trPr>
        <w:tc>
          <w:tcPr>
            <w:tcW w:w="1452" w:type="dxa"/>
            <w:tcBorders>
              <w:top w:val="nil"/>
              <w:left w:val="single" w:sz="4" w:space="0" w:color="auto"/>
              <w:bottom w:val="nil"/>
              <w:right w:val="single" w:sz="4" w:space="0" w:color="auto"/>
            </w:tcBorders>
            <w:shd w:val="clear" w:color="auto" w:fill="auto"/>
            <w:noWrap/>
            <w:vAlign w:val="bottom"/>
            <w:hideMark/>
          </w:tcPr>
          <w:p w14:paraId="7C9184EB" w14:textId="77777777" w:rsidR="004337E6" w:rsidRPr="002812B0" w:rsidRDefault="004337E6" w:rsidP="008975E4">
            <w:pPr>
              <w:rPr>
                <w:rFonts w:cstheme="minorHAnsi"/>
                <w:sz w:val="18"/>
                <w:szCs w:val="18"/>
              </w:rPr>
            </w:pPr>
            <w:r w:rsidRPr="002812B0">
              <w:rPr>
                <w:rFonts w:cstheme="minorHAnsi"/>
                <w:sz w:val="18"/>
                <w:szCs w:val="18"/>
              </w:rPr>
              <w:t>Latvia</w:t>
            </w:r>
          </w:p>
        </w:tc>
        <w:tc>
          <w:tcPr>
            <w:tcW w:w="425" w:type="dxa"/>
            <w:tcBorders>
              <w:top w:val="nil"/>
              <w:left w:val="nil"/>
              <w:bottom w:val="nil"/>
              <w:right w:val="nil"/>
            </w:tcBorders>
            <w:shd w:val="clear" w:color="auto" w:fill="auto"/>
            <w:noWrap/>
            <w:vAlign w:val="bottom"/>
            <w:hideMark/>
          </w:tcPr>
          <w:p w14:paraId="75A52A85" w14:textId="77777777" w:rsidR="004337E6" w:rsidRPr="002812B0" w:rsidRDefault="004337E6" w:rsidP="008975E4">
            <w:pPr>
              <w:ind w:right="-111"/>
              <w:jc w:val="left"/>
              <w:rPr>
                <w:rFonts w:cstheme="minorHAnsi"/>
                <w:sz w:val="18"/>
                <w:szCs w:val="18"/>
              </w:rPr>
            </w:pPr>
            <w:r w:rsidRPr="002812B0">
              <w:rPr>
                <w:rFonts w:cstheme="minorHAnsi"/>
                <w:sz w:val="18"/>
                <w:szCs w:val="18"/>
              </w:rPr>
              <w:t>LV</w:t>
            </w:r>
          </w:p>
        </w:tc>
        <w:tc>
          <w:tcPr>
            <w:tcW w:w="992" w:type="dxa"/>
            <w:gridSpan w:val="2"/>
            <w:tcBorders>
              <w:top w:val="nil"/>
              <w:left w:val="single" w:sz="4" w:space="0" w:color="auto"/>
              <w:bottom w:val="nil"/>
              <w:right w:val="nil"/>
            </w:tcBorders>
            <w:shd w:val="clear" w:color="auto" w:fill="auto"/>
            <w:noWrap/>
            <w:vAlign w:val="bottom"/>
            <w:hideMark/>
          </w:tcPr>
          <w:p w14:paraId="5C5D39F5" w14:textId="77777777" w:rsidR="004337E6" w:rsidRPr="002812B0" w:rsidRDefault="004337E6" w:rsidP="008975E4">
            <w:pPr>
              <w:jc w:val="right"/>
              <w:rPr>
                <w:rFonts w:cstheme="minorHAnsi"/>
                <w:sz w:val="18"/>
                <w:szCs w:val="18"/>
              </w:rPr>
            </w:pPr>
            <w:r w:rsidRPr="002812B0">
              <w:rPr>
                <w:rFonts w:cstheme="minorHAnsi"/>
                <w:sz w:val="18"/>
                <w:szCs w:val="18"/>
              </w:rPr>
              <w:t>70.89</w:t>
            </w:r>
          </w:p>
        </w:tc>
        <w:tc>
          <w:tcPr>
            <w:tcW w:w="992" w:type="dxa"/>
            <w:gridSpan w:val="2"/>
            <w:tcBorders>
              <w:top w:val="nil"/>
              <w:left w:val="nil"/>
              <w:bottom w:val="nil"/>
              <w:right w:val="nil"/>
            </w:tcBorders>
            <w:shd w:val="clear" w:color="auto" w:fill="auto"/>
            <w:noWrap/>
            <w:vAlign w:val="bottom"/>
            <w:hideMark/>
          </w:tcPr>
          <w:p w14:paraId="7F855FC4" w14:textId="77777777" w:rsidR="004337E6" w:rsidRPr="002812B0" w:rsidRDefault="004337E6" w:rsidP="008975E4">
            <w:pPr>
              <w:jc w:val="right"/>
              <w:rPr>
                <w:rFonts w:cstheme="minorHAnsi"/>
                <w:sz w:val="18"/>
                <w:szCs w:val="18"/>
              </w:rPr>
            </w:pPr>
            <w:r w:rsidRPr="002812B0">
              <w:rPr>
                <w:rFonts w:cstheme="minorHAnsi"/>
                <w:sz w:val="18"/>
                <w:szCs w:val="18"/>
              </w:rPr>
              <w:t>11.54</w:t>
            </w:r>
          </w:p>
        </w:tc>
        <w:tc>
          <w:tcPr>
            <w:tcW w:w="851" w:type="dxa"/>
            <w:gridSpan w:val="2"/>
            <w:tcBorders>
              <w:top w:val="nil"/>
              <w:left w:val="nil"/>
              <w:bottom w:val="nil"/>
              <w:right w:val="nil"/>
            </w:tcBorders>
            <w:shd w:val="clear" w:color="auto" w:fill="auto"/>
            <w:noWrap/>
            <w:vAlign w:val="bottom"/>
            <w:hideMark/>
          </w:tcPr>
          <w:p w14:paraId="3AB7D465" w14:textId="77777777" w:rsidR="004337E6" w:rsidRPr="002812B0" w:rsidRDefault="004337E6" w:rsidP="008975E4">
            <w:pPr>
              <w:jc w:val="right"/>
              <w:rPr>
                <w:rFonts w:cstheme="minorHAnsi"/>
                <w:b/>
                <w:bCs/>
                <w:sz w:val="18"/>
                <w:szCs w:val="18"/>
              </w:rPr>
            </w:pPr>
            <w:r w:rsidRPr="002812B0">
              <w:rPr>
                <w:rFonts w:cstheme="minorHAnsi"/>
                <w:b/>
                <w:bCs/>
                <w:sz w:val="18"/>
                <w:szCs w:val="18"/>
              </w:rPr>
              <w:t>82.43</w:t>
            </w:r>
          </w:p>
        </w:tc>
        <w:tc>
          <w:tcPr>
            <w:tcW w:w="709" w:type="dxa"/>
            <w:gridSpan w:val="2"/>
            <w:tcBorders>
              <w:top w:val="nil"/>
              <w:left w:val="nil"/>
              <w:bottom w:val="nil"/>
              <w:right w:val="nil"/>
            </w:tcBorders>
            <w:shd w:val="clear" w:color="auto" w:fill="auto"/>
            <w:noWrap/>
            <w:vAlign w:val="bottom"/>
            <w:hideMark/>
          </w:tcPr>
          <w:p w14:paraId="395BF9A3" w14:textId="77777777" w:rsidR="004337E6" w:rsidRPr="002812B0" w:rsidRDefault="004337E6" w:rsidP="008975E4">
            <w:pPr>
              <w:jc w:val="right"/>
              <w:rPr>
                <w:rFonts w:cstheme="minorHAnsi"/>
                <w:sz w:val="18"/>
                <w:szCs w:val="18"/>
              </w:rPr>
            </w:pPr>
            <w:r w:rsidRPr="002812B0">
              <w:rPr>
                <w:rFonts w:cstheme="minorHAnsi"/>
                <w:sz w:val="18"/>
                <w:szCs w:val="18"/>
              </w:rPr>
              <w:t>4.52</w:t>
            </w:r>
          </w:p>
        </w:tc>
        <w:tc>
          <w:tcPr>
            <w:tcW w:w="817" w:type="dxa"/>
            <w:gridSpan w:val="2"/>
            <w:tcBorders>
              <w:top w:val="nil"/>
              <w:left w:val="nil"/>
              <w:bottom w:val="nil"/>
              <w:right w:val="nil"/>
            </w:tcBorders>
            <w:shd w:val="clear" w:color="auto" w:fill="auto"/>
            <w:noWrap/>
            <w:vAlign w:val="bottom"/>
            <w:hideMark/>
          </w:tcPr>
          <w:p w14:paraId="1884BEFB" w14:textId="77777777" w:rsidR="004337E6" w:rsidRPr="002812B0" w:rsidRDefault="004337E6" w:rsidP="008975E4">
            <w:pPr>
              <w:jc w:val="right"/>
              <w:rPr>
                <w:rFonts w:cstheme="minorHAnsi"/>
                <w:sz w:val="18"/>
                <w:szCs w:val="18"/>
              </w:rPr>
            </w:pPr>
            <w:r w:rsidRPr="002812B0">
              <w:rPr>
                <w:rFonts w:cstheme="minorHAnsi"/>
                <w:sz w:val="18"/>
                <w:szCs w:val="18"/>
              </w:rPr>
              <w:t>9.28</w:t>
            </w:r>
          </w:p>
        </w:tc>
        <w:tc>
          <w:tcPr>
            <w:tcW w:w="659" w:type="dxa"/>
            <w:tcBorders>
              <w:top w:val="nil"/>
              <w:left w:val="nil"/>
              <w:bottom w:val="nil"/>
              <w:right w:val="nil"/>
            </w:tcBorders>
            <w:shd w:val="clear" w:color="auto" w:fill="auto"/>
            <w:noWrap/>
            <w:vAlign w:val="bottom"/>
            <w:hideMark/>
          </w:tcPr>
          <w:p w14:paraId="379F51B7" w14:textId="77777777" w:rsidR="004337E6" w:rsidRPr="002812B0" w:rsidRDefault="004337E6" w:rsidP="008975E4">
            <w:pPr>
              <w:jc w:val="right"/>
              <w:rPr>
                <w:rFonts w:cstheme="minorHAnsi"/>
                <w:sz w:val="18"/>
                <w:szCs w:val="18"/>
              </w:rPr>
            </w:pPr>
            <w:r w:rsidRPr="002812B0">
              <w:rPr>
                <w:rFonts w:cstheme="minorHAnsi"/>
                <w:sz w:val="18"/>
                <w:szCs w:val="18"/>
              </w:rPr>
              <w:t>3.51</w:t>
            </w:r>
          </w:p>
        </w:tc>
        <w:tc>
          <w:tcPr>
            <w:tcW w:w="933" w:type="dxa"/>
            <w:gridSpan w:val="2"/>
            <w:tcBorders>
              <w:top w:val="nil"/>
              <w:left w:val="nil"/>
              <w:bottom w:val="nil"/>
              <w:right w:val="nil"/>
            </w:tcBorders>
            <w:shd w:val="clear" w:color="auto" w:fill="auto"/>
            <w:noWrap/>
            <w:vAlign w:val="bottom"/>
            <w:hideMark/>
          </w:tcPr>
          <w:p w14:paraId="760EAB99" w14:textId="77777777" w:rsidR="004337E6" w:rsidRPr="002812B0" w:rsidRDefault="004337E6" w:rsidP="008975E4">
            <w:pPr>
              <w:jc w:val="right"/>
              <w:rPr>
                <w:rFonts w:cstheme="minorHAnsi"/>
                <w:b/>
                <w:bCs/>
                <w:sz w:val="18"/>
                <w:szCs w:val="18"/>
              </w:rPr>
            </w:pPr>
            <w:r w:rsidRPr="002812B0">
              <w:rPr>
                <w:rFonts w:cstheme="minorHAnsi"/>
                <w:b/>
                <w:bCs/>
                <w:sz w:val="18"/>
                <w:szCs w:val="18"/>
              </w:rPr>
              <w:t>17.31</w:t>
            </w:r>
          </w:p>
        </w:tc>
        <w:tc>
          <w:tcPr>
            <w:tcW w:w="709" w:type="dxa"/>
            <w:tcBorders>
              <w:top w:val="nil"/>
              <w:left w:val="nil"/>
              <w:bottom w:val="nil"/>
              <w:right w:val="single" w:sz="4" w:space="0" w:color="auto"/>
            </w:tcBorders>
            <w:shd w:val="clear" w:color="auto" w:fill="auto"/>
            <w:noWrap/>
            <w:vAlign w:val="bottom"/>
            <w:hideMark/>
          </w:tcPr>
          <w:p w14:paraId="2BDA0FC8" w14:textId="77777777" w:rsidR="004337E6" w:rsidRPr="002812B0" w:rsidRDefault="004337E6" w:rsidP="008975E4">
            <w:pPr>
              <w:jc w:val="right"/>
              <w:rPr>
                <w:rFonts w:cstheme="minorHAnsi"/>
                <w:sz w:val="18"/>
                <w:szCs w:val="18"/>
              </w:rPr>
            </w:pPr>
            <w:r w:rsidRPr="002812B0">
              <w:rPr>
                <w:rFonts w:cstheme="minorHAnsi"/>
                <w:sz w:val="18"/>
                <w:szCs w:val="18"/>
              </w:rPr>
              <w:t>0.25</w:t>
            </w:r>
          </w:p>
        </w:tc>
        <w:tc>
          <w:tcPr>
            <w:tcW w:w="989" w:type="dxa"/>
            <w:gridSpan w:val="2"/>
            <w:tcBorders>
              <w:top w:val="nil"/>
              <w:left w:val="nil"/>
              <w:bottom w:val="nil"/>
              <w:right w:val="nil"/>
            </w:tcBorders>
            <w:shd w:val="clear" w:color="auto" w:fill="auto"/>
            <w:noWrap/>
            <w:vAlign w:val="center"/>
            <w:hideMark/>
          </w:tcPr>
          <w:p w14:paraId="679C4797" w14:textId="77777777" w:rsidR="004337E6" w:rsidRPr="002812B0" w:rsidRDefault="004337E6" w:rsidP="008975E4">
            <w:pPr>
              <w:jc w:val="right"/>
              <w:rPr>
                <w:rFonts w:cstheme="minorHAnsi"/>
                <w:sz w:val="18"/>
                <w:szCs w:val="18"/>
              </w:rPr>
            </w:pPr>
            <w:r w:rsidRPr="002812B0">
              <w:rPr>
                <w:rFonts w:cstheme="minorHAnsi"/>
                <w:sz w:val="18"/>
                <w:szCs w:val="18"/>
              </w:rPr>
              <w:t>52.64</w:t>
            </w:r>
          </w:p>
        </w:tc>
        <w:tc>
          <w:tcPr>
            <w:tcW w:w="894" w:type="dxa"/>
            <w:gridSpan w:val="2"/>
            <w:tcBorders>
              <w:top w:val="nil"/>
              <w:left w:val="nil"/>
              <w:bottom w:val="nil"/>
              <w:right w:val="nil"/>
            </w:tcBorders>
            <w:shd w:val="clear" w:color="auto" w:fill="auto"/>
            <w:noWrap/>
            <w:vAlign w:val="center"/>
            <w:hideMark/>
          </w:tcPr>
          <w:p w14:paraId="7173672F" w14:textId="77777777" w:rsidR="004337E6" w:rsidRPr="002812B0" w:rsidRDefault="004337E6" w:rsidP="008975E4">
            <w:pPr>
              <w:jc w:val="right"/>
              <w:rPr>
                <w:rFonts w:cstheme="minorHAnsi"/>
                <w:sz w:val="18"/>
                <w:szCs w:val="18"/>
              </w:rPr>
            </w:pPr>
            <w:r w:rsidRPr="002812B0">
              <w:rPr>
                <w:rFonts w:cstheme="minorHAnsi"/>
                <w:sz w:val="18"/>
                <w:szCs w:val="18"/>
              </w:rPr>
              <w:t>16.15</w:t>
            </w:r>
          </w:p>
        </w:tc>
        <w:tc>
          <w:tcPr>
            <w:tcW w:w="690" w:type="dxa"/>
            <w:gridSpan w:val="2"/>
            <w:tcBorders>
              <w:top w:val="nil"/>
              <w:left w:val="nil"/>
              <w:bottom w:val="nil"/>
              <w:right w:val="nil"/>
            </w:tcBorders>
            <w:shd w:val="clear" w:color="auto" w:fill="auto"/>
            <w:noWrap/>
            <w:vAlign w:val="center"/>
            <w:hideMark/>
          </w:tcPr>
          <w:p w14:paraId="734A7586" w14:textId="77777777" w:rsidR="004337E6" w:rsidRPr="002812B0" w:rsidRDefault="004337E6" w:rsidP="008975E4">
            <w:pPr>
              <w:jc w:val="right"/>
              <w:rPr>
                <w:rFonts w:cstheme="minorHAnsi"/>
                <w:b/>
                <w:bCs/>
                <w:sz w:val="18"/>
                <w:szCs w:val="18"/>
              </w:rPr>
            </w:pPr>
            <w:r w:rsidRPr="002812B0">
              <w:rPr>
                <w:rFonts w:cstheme="minorHAnsi"/>
                <w:b/>
                <w:bCs/>
                <w:sz w:val="18"/>
                <w:szCs w:val="18"/>
              </w:rPr>
              <w:t>68.79</w:t>
            </w:r>
          </w:p>
        </w:tc>
        <w:tc>
          <w:tcPr>
            <w:tcW w:w="974" w:type="dxa"/>
            <w:gridSpan w:val="2"/>
            <w:tcBorders>
              <w:top w:val="nil"/>
              <w:left w:val="nil"/>
              <w:bottom w:val="nil"/>
              <w:right w:val="nil"/>
            </w:tcBorders>
            <w:shd w:val="clear" w:color="auto" w:fill="auto"/>
            <w:noWrap/>
            <w:vAlign w:val="center"/>
            <w:hideMark/>
          </w:tcPr>
          <w:p w14:paraId="0A8B94D6" w14:textId="77777777" w:rsidR="004337E6" w:rsidRPr="002812B0" w:rsidRDefault="004337E6" w:rsidP="008975E4">
            <w:pPr>
              <w:jc w:val="right"/>
              <w:rPr>
                <w:rFonts w:cstheme="minorHAnsi"/>
                <w:sz w:val="18"/>
                <w:szCs w:val="18"/>
              </w:rPr>
            </w:pPr>
            <w:r w:rsidRPr="002812B0">
              <w:rPr>
                <w:rFonts w:cstheme="minorHAnsi"/>
                <w:sz w:val="18"/>
                <w:szCs w:val="18"/>
              </w:rPr>
              <w:t>15.60</w:t>
            </w:r>
          </w:p>
        </w:tc>
        <w:tc>
          <w:tcPr>
            <w:tcW w:w="894" w:type="dxa"/>
            <w:gridSpan w:val="2"/>
            <w:tcBorders>
              <w:top w:val="nil"/>
              <w:left w:val="nil"/>
              <w:bottom w:val="nil"/>
              <w:right w:val="nil"/>
            </w:tcBorders>
            <w:shd w:val="clear" w:color="auto" w:fill="auto"/>
            <w:noWrap/>
            <w:vAlign w:val="center"/>
            <w:hideMark/>
          </w:tcPr>
          <w:p w14:paraId="27D992A9" w14:textId="77777777" w:rsidR="004337E6" w:rsidRPr="002812B0" w:rsidRDefault="004337E6" w:rsidP="008975E4">
            <w:pPr>
              <w:jc w:val="right"/>
              <w:rPr>
                <w:rFonts w:cstheme="minorHAnsi"/>
                <w:sz w:val="18"/>
                <w:szCs w:val="18"/>
              </w:rPr>
            </w:pPr>
            <w:r w:rsidRPr="002812B0">
              <w:rPr>
                <w:rFonts w:cstheme="minorHAnsi"/>
                <w:sz w:val="18"/>
                <w:szCs w:val="18"/>
              </w:rPr>
              <w:t>10.77</w:t>
            </w:r>
          </w:p>
        </w:tc>
        <w:tc>
          <w:tcPr>
            <w:tcW w:w="659" w:type="dxa"/>
            <w:gridSpan w:val="2"/>
            <w:tcBorders>
              <w:top w:val="nil"/>
              <w:left w:val="nil"/>
              <w:bottom w:val="nil"/>
              <w:right w:val="nil"/>
            </w:tcBorders>
            <w:shd w:val="clear" w:color="auto" w:fill="auto"/>
            <w:noWrap/>
            <w:vAlign w:val="center"/>
            <w:hideMark/>
          </w:tcPr>
          <w:p w14:paraId="60DC2AB8" w14:textId="77777777" w:rsidR="004337E6" w:rsidRPr="002812B0" w:rsidRDefault="004337E6" w:rsidP="008975E4">
            <w:pPr>
              <w:jc w:val="right"/>
              <w:rPr>
                <w:rFonts w:cstheme="minorHAnsi"/>
                <w:sz w:val="18"/>
                <w:szCs w:val="18"/>
              </w:rPr>
            </w:pPr>
            <w:r w:rsidRPr="002812B0">
              <w:rPr>
                <w:rFonts w:cstheme="minorHAnsi"/>
                <w:sz w:val="18"/>
                <w:szCs w:val="18"/>
              </w:rPr>
              <w:t>4.51</w:t>
            </w:r>
          </w:p>
        </w:tc>
        <w:tc>
          <w:tcPr>
            <w:tcW w:w="854" w:type="dxa"/>
            <w:tcBorders>
              <w:top w:val="nil"/>
              <w:left w:val="nil"/>
              <w:bottom w:val="nil"/>
              <w:right w:val="nil"/>
            </w:tcBorders>
            <w:shd w:val="clear" w:color="auto" w:fill="auto"/>
            <w:noWrap/>
            <w:vAlign w:val="center"/>
            <w:hideMark/>
          </w:tcPr>
          <w:p w14:paraId="795FC010" w14:textId="77777777" w:rsidR="004337E6" w:rsidRPr="002812B0" w:rsidRDefault="004337E6" w:rsidP="008975E4">
            <w:pPr>
              <w:jc w:val="right"/>
              <w:rPr>
                <w:rFonts w:cstheme="minorHAnsi"/>
                <w:b/>
                <w:bCs/>
                <w:sz w:val="18"/>
                <w:szCs w:val="18"/>
              </w:rPr>
            </w:pPr>
            <w:r w:rsidRPr="002812B0">
              <w:rPr>
                <w:rFonts w:cstheme="minorHAnsi"/>
                <w:b/>
                <w:bCs/>
                <w:sz w:val="18"/>
                <w:szCs w:val="18"/>
              </w:rPr>
              <w:t>30.88</w:t>
            </w:r>
          </w:p>
        </w:tc>
        <w:tc>
          <w:tcPr>
            <w:tcW w:w="792" w:type="dxa"/>
            <w:tcBorders>
              <w:top w:val="nil"/>
              <w:left w:val="nil"/>
              <w:bottom w:val="nil"/>
              <w:right w:val="single" w:sz="4" w:space="0" w:color="auto"/>
            </w:tcBorders>
            <w:shd w:val="clear" w:color="auto" w:fill="auto"/>
            <w:noWrap/>
            <w:vAlign w:val="center"/>
            <w:hideMark/>
          </w:tcPr>
          <w:p w14:paraId="6958233E" w14:textId="77777777" w:rsidR="004337E6" w:rsidRPr="002812B0" w:rsidRDefault="004337E6" w:rsidP="008975E4">
            <w:pPr>
              <w:jc w:val="right"/>
              <w:rPr>
                <w:rFonts w:cstheme="minorHAnsi"/>
                <w:sz w:val="18"/>
                <w:szCs w:val="18"/>
              </w:rPr>
            </w:pPr>
            <w:r w:rsidRPr="002812B0">
              <w:rPr>
                <w:rFonts w:cstheme="minorHAnsi"/>
                <w:sz w:val="18"/>
                <w:szCs w:val="18"/>
              </w:rPr>
              <w:t>0.33</w:t>
            </w:r>
          </w:p>
        </w:tc>
      </w:tr>
      <w:tr w:rsidR="004337E6" w:rsidRPr="002812B0" w14:paraId="37A1B798" w14:textId="77777777" w:rsidTr="008975E4">
        <w:trPr>
          <w:trHeight w:hRule="exact" w:val="284"/>
        </w:trPr>
        <w:tc>
          <w:tcPr>
            <w:tcW w:w="1452" w:type="dxa"/>
            <w:tcBorders>
              <w:top w:val="nil"/>
              <w:left w:val="single" w:sz="4" w:space="0" w:color="auto"/>
              <w:bottom w:val="nil"/>
              <w:right w:val="single" w:sz="4" w:space="0" w:color="auto"/>
            </w:tcBorders>
            <w:shd w:val="clear" w:color="auto" w:fill="auto"/>
            <w:noWrap/>
            <w:vAlign w:val="bottom"/>
            <w:hideMark/>
          </w:tcPr>
          <w:p w14:paraId="20EA0C10" w14:textId="77777777" w:rsidR="004337E6" w:rsidRPr="002812B0" w:rsidRDefault="004337E6" w:rsidP="008975E4">
            <w:pPr>
              <w:rPr>
                <w:rFonts w:cstheme="minorHAnsi"/>
                <w:sz w:val="18"/>
                <w:szCs w:val="18"/>
              </w:rPr>
            </w:pPr>
            <w:r w:rsidRPr="002812B0">
              <w:rPr>
                <w:rFonts w:cstheme="minorHAnsi"/>
                <w:sz w:val="18"/>
                <w:szCs w:val="18"/>
              </w:rPr>
              <w:t>Cyprus</w:t>
            </w:r>
          </w:p>
        </w:tc>
        <w:tc>
          <w:tcPr>
            <w:tcW w:w="425" w:type="dxa"/>
            <w:tcBorders>
              <w:top w:val="nil"/>
              <w:left w:val="nil"/>
              <w:bottom w:val="nil"/>
              <w:right w:val="nil"/>
            </w:tcBorders>
            <w:shd w:val="clear" w:color="auto" w:fill="auto"/>
            <w:noWrap/>
            <w:vAlign w:val="bottom"/>
            <w:hideMark/>
          </w:tcPr>
          <w:p w14:paraId="4DDD822D" w14:textId="77777777" w:rsidR="004337E6" w:rsidRPr="002812B0" w:rsidRDefault="004337E6" w:rsidP="008975E4">
            <w:pPr>
              <w:ind w:right="-111"/>
              <w:jc w:val="left"/>
              <w:rPr>
                <w:rFonts w:cstheme="minorHAnsi"/>
                <w:sz w:val="18"/>
                <w:szCs w:val="18"/>
              </w:rPr>
            </w:pPr>
            <w:r w:rsidRPr="002812B0">
              <w:rPr>
                <w:rFonts w:cstheme="minorHAnsi"/>
                <w:sz w:val="18"/>
                <w:szCs w:val="18"/>
              </w:rPr>
              <w:t>CY</w:t>
            </w:r>
          </w:p>
        </w:tc>
        <w:tc>
          <w:tcPr>
            <w:tcW w:w="992" w:type="dxa"/>
            <w:gridSpan w:val="2"/>
            <w:tcBorders>
              <w:top w:val="nil"/>
              <w:left w:val="single" w:sz="4" w:space="0" w:color="auto"/>
              <w:bottom w:val="nil"/>
              <w:right w:val="nil"/>
            </w:tcBorders>
            <w:shd w:val="clear" w:color="auto" w:fill="auto"/>
            <w:noWrap/>
            <w:vAlign w:val="bottom"/>
            <w:hideMark/>
          </w:tcPr>
          <w:p w14:paraId="45D7D350" w14:textId="77777777" w:rsidR="004337E6" w:rsidRPr="002812B0" w:rsidRDefault="004337E6" w:rsidP="008975E4">
            <w:pPr>
              <w:jc w:val="right"/>
              <w:rPr>
                <w:rFonts w:cstheme="minorHAnsi"/>
                <w:sz w:val="18"/>
                <w:szCs w:val="18"/>
              </w:rPr>
            </w:pPr>
            <w:r w:rsidRPr="002812B0">
              <w:rPr>
                <w:rFonts w:cstheme="minorHAnsi"/>
                <w:sz w:val="18"/>
                <w:szCs w:val="18"/>
              </w:rPr>
              <w:t>75.66</w:t>
            </w:r>
          </w:p>
        </w:tc>
        <w:tc>
          <w:tcPr>
            <w:tcW w:w="992" w:type="dxa"/>
            <w:gridSpan w:val="2"/>
            <w:tcBorders>
              <w:top w:val="nil"/>
              <w:left w:val="nil"/>
              <w:bottom w:val="nil"/>
              <w:right w:val="nil"/>
            </w:tcBorders>
            <w:shd w:val="clear" w:color="auto" w:fill="auto"/>
            <w:noWrap/>
            <w:vAlign w:val="bottom"/>
            <w:hideMark/>
          </w:tcPr>
          <w:p w14:paraId="03D26B2C" w14:textId="77777777" w:rsidR="004337E6" w:rsidRPr="002812B0" w:rsidRDefault="004337E6" w:rsidP="008975E4">
            <w:pPr>
              <w:jc w:val="right"/>
              <w:rPr>
                <w:rFonts w:cstheme="minorHAnsi"/>
                <w:sz w:val="18"/>
                <w:szCs w:val="18"/>
              </w:rPr>
            </w:pPr>
            <w:r w:rsidRPr="002812B0">
              <w:rPr>
                <w:rFonts w:cstheme="minorHAnsi"/>
                <w:sz w:val="18"/>
                <w:szCs w:val="18"/>
              </w:rPr>
              <w:t>7.12</w:t>
            </w:r>
          </w:p>
        </w:tc>
        <w:tc>
          <w:tcPr>
            <w:tcW w:w="851" w:type="dxa"/>
            <w:gridSpan w:val="2"/>
            <w:tcBorders>
              <w:top w:val="nil"/>
              <w:left w:val="nil"/>
              <w:bottom w:val="nil"/>
              <w:right w:val="nil"/>
            </w:tcBorders>
            <w:shd w:val="clear" w:color="auto" w:fill="auto"/>
            <w:noWrap/>
            <w:vAlign w:val="bottom"/>
            <w:hideMark/>
          </w:tcPr>
          <w:p w14:paraId="3A6638EC" w14:textId="77777777" w:rsidR="004337E6" w:rsidRPr="002812B0" w:rsidRDefault="004337E6" w:rsidP="008975E4">
            <w:pPr>
              <w:jc w:val="right"/>
              <w:rPr>
                <w:rFonts w:cstheme="minorHAnsi"/>
                <w:b/>
                <w:bCs/>
                <w:sz w:val="18"/>
                <w:szCs w:val="18"/>
              </w:rPr>
            </w:pPr>
            <w:r w:rsidRPr="002812B0">
              <w:rPr>
                <w:rFonts w:cstheme="minorHAnsi"/>
                <w:b/>
                <w:bCs/>
                <w:sz w:val="18"/>
                <w:szCs w:val="18"/>
              </w:rPr>
              <w:t>82.78</w:t>
            </w:r>
          </w:p>
        </w:tc>
        <w:tc>
          <w:tcPr>
            <w:tcW w:w="709" w:type="dxa"/>
            <w:gridSpan w:val="2"/>
            <w:tcBorders>
              <w:top w:val="nil"/>
              <w:left w:val="nil"/>
              <w:bottom w:val="nil"/>
              <w:right w:val="nil"/>
            </w:tcBorders>
            <w:shd w:val="clear" w:color="auto" w:fill="auto"/>
            <w:noWrap/>
            <w:vAlign w:val="bottom"/>
            <w:hideMark/>
          </w:tcPr>
          <w:p w14:paraId="7EA28993" w14:textId="77777777" w:rsidR="004337E6" w:rsidRPr="002812B0" w:rsidRDefault="004337E6" w:rsidP="008975E4">
            <w:pPr>
              <w:jc w:val="right"/>
              <w:rPr>
                <w:rFonts w:cstheme="minorHAnsi"/>
                <w:sz w:val="18"/>
                <w:szCs w:val="18"/>
              </w:rPr>
            </w:pPr>
            <w:r w:rsidRPr="002812B0">
              <w:rPr>
                <w:rFonts w:cstheme="minorHAnsi"/>
                <w:sz w:val="18"/>
                <w:szCs w:val="18"/>
              </w:rPr>
              <w:t>3.64</w:t>
            </w:r>
          </w:p>
        </w:tc>
        <w:tc>
          <w:tcPr>
            <w:tcW w:w="817" w:type="dxa"/>
            <w:gridSpan w:val="2"/>
            <w:tcBorders>
              <w:top w:val="nil"/>
              <w:left w:val="nil"/>
              <w:bottom w:val="nil"/>
              <w:right w:val="nil"/>
            </w:tcBorders>
            <w:shd w:val="clear" w:color="auto" w:fill="auto"/>
            <w:noWrap/>
            <w:vAlign w:val="bottom"/>
            <w:hideMark/>
          </w:tcPr>
          <w:p w14:paraId="3C84D66C" w14:textId="77777777" w:rsidR="004337E6" w:rsidRPr="002812B0" w:rsidRDefault="004337E6" w:rsidP="008975E4">
            <w:pPr>
              <w:jc w:val="right"/>
              <w:rPr>
                <w:rFonts w:cstheme="minorHAnsi"/>
                <w:sz w:val="18"/>
                <w:szCs w:val="18"/>
              </w:rPr>
            </w:pPr>
            <w:r w:rsidRPr="002812B0">
              <w:rPr>
                <w:rFonts w:cstheme="minorHAnsi"/>
                <w:sz w:val="18"/>
                <w:szCs w:val="18"/>
              </w:rPr>
              <w:t>8.44</w:t>
            </w:r>
          </w:p>
        </w:tc>
        <w:tc>
          <w:tcPr>
            <w:tcW w:w="659" w:type="dxa"/>
            <w:tcBorders>
              <w:top w:val="nil"/>
              <w:left w:val="nil"/>
              <w:bottom w:val="nil"/>
              <w:right w:val="nil"/>
            </w:tcBorders>
            <w:shd w:val="clear" w:color="auto" w:fill="auto"/>
            <w:noWrap/>
            <w:vAlign w:val="bottom"/>
            <w:hideMark/>
          </w:tcPr>
          <w:p w14:paraId="4F22B70A" w14:textId="77777777" w:rsidR="004337E6" w:rsidRPr="002812B0" w:rsidRDefault="004337E6" w:rsidP="008975E4">
            <w:pPr>
              <w:jc w:val="right"/>
              <w:rPr>
                <w:rFonts w:cstheme="minorHAnsi"/>
                <w:sz w:val="18"/>
                <w:szCs w:val="18"/>
              </w:rPr>
            </w:pPr>
            <w:r w:rsidRPr="002812B0">
              <w:rPr>
                <w:rFonts w:cstheme="minorHAnsi"/>
                <w:sz w:val="18"/>
                <w:szCs w:val="18"/>
              </w:rPr>
              <w:t>4.47</w:t>
            </w:r>
          </w:p>
        </w:tc>
        <w:tc>
          <w:tcPr>
            <w:tcW w:w="933" w:type="dxa"/>
            <w:gridSpan w:val="2"/>
            <w:tcBorders>
              <w:top w:val="nil"/>
              <w:left w:val="nil"/>
              <w:bottom w:val="nil"/>
              <w:right w:val="nil"/>
            </w:tcBorders>
            <w:shd w:val="clear" w:color="auto" w:fill="auto"/>
            <w:noWrap/>
            <w:vAlign w:val="bottom"/>
            <w:hideMark/>
          </w:tcPr>
          <w:p w14:paraId="01D4D141" w14:textId="77777777" w:rsidR="004337E6" w:rsidRPr="002812B0" w:rsidRDefault="004337E6" w:rsidP="008975E4">
            <w:pPr>
              <w:jc w:val="right"/>
              <w:rPr>
                <w:rFonts w:cstheme="minorHAnsi"/>
                <w:b/>
                <w:bCs/>
                <w:sz w:val="18"/>
                <w:szCs w:val="18"/>
              </w:rPr>
            </w:pPr>
            <w:r w:rsidRPr="002812B0">
              <w:rPr>
                <w:rFonts w:cstheme="minorHAnsi"/>
                <w:b/>
                <w:bCs/>
                <w:sz w:val="18"/>
                <w:szCs w:val="18"/>
              </w:rPr>
              <w:t>16.55</w:t>
            </w:r>
          </w:p>
        </w:tc>
        <w:tc>
          <w:tcPr>
            <w:tcW w:w="709" w:type="dxa"/>
            <w:tcBorders>
              <w:top w:val="nil"/>
              <w:left w:val="nil"/>
              <w:bottom w:val="nil"/>
              <w:right w:val="single" w:sz="4" w:space="0" w:color="auto"/>
            </w:tcBorders>
            <w:shd w:val="clear" w:color="auto" w:fill="auto"/>
            <w:noWrap/>
            <w:vAlign w:val="bottom"/>
            <w:hideMark/>
          </w:tcPr>
          <w:p w14:paraId="5C6C5D30" w14:textId="77777777" w:rsidR="004337E6" w:rsidRPr="002812B0" w:rsidRDefault="004337E6" w:rsidP="008975E4">
            <w:pPr>
              <w:jc w:val="right"/>
              <w:rPr>
                <w:rFonts w:cstheme="minorHAnsi"/>
                <w:sz w:val="18"/>
                <w:szCs w:val="18"/>
              </w:rPr>
            </w:pPr>
            <w:r w:rsidRPr="002812B0">
              <w:rPr>
                <w:rFonts w:cstheme="minorHAnsi"/>
                <w:sz w:val="18"/>
                <w:szCs w:val="18"/>
              </w:rPr>
              <w:t>0.66</w:t>
            </w:r>
          </w:p>
        </w:tc>
        <w:tc>
          <w:tcPr>
            <w:tcW w:w="989" w:type="dxa"/>
            <w:gridSpan w:val="2"/>
            <w:tcBorders>
              <w:top w:val="nil"/>
              <w:left w:val="nil"/>
              <w:bottom w:val="nil"/>
              <w:right w:val="nil"/>
            </w:tcBorders>
            <w:shd w:val="clear" w:color="auto" w:fill="auto"/>
            <w:noWrap/>
            <w:vAlign w:val="center"/>
            <w:hideMark/>
          </w:tcPr>
          <w:p w14:paraId="443FEB95" w14:textId="77777777" w:rsidR="004337E6" w:rsidRPr="002812B0" w:rsidRDefault="004337E6" w:rsidP="008975E4">
            <w:pPr>
              <w:jc w:val="right"/>
              <w:rPr>
                <w:rFonts w:cstheme="minorHAnsi"/>
                <w:sz w:val="18"/>
                <w:szCs w:val="18"/>
              </w:rPr>
            </w:pPr>
            <w:r w:rsidRPr="002812B0">
              <w:rPr>
                <w:rFonts w:cstheme="minorHAnsi"/>
                <w:sz w:val="18"/>
                <w:szCs w:val="18"/>
              </w:rPr>
              <w:t>68.30</w:t>
            </w:r>
          </w:p>
        </w:tc>
        <w:tc>
          <w:tcPr>
            <w:tcW w:w="894" w:type="dxa"/>
            <w:gridSpan w:val="2"/>
            <w:tcBorders>
              <w:top w:val="nil"/>
              <w:left w:val="nil"/>
              <w:bottom w:val="nil"/>
              <w:right w:val="nil"/>
            </w:tcBorders>
            <w:shd w:val="clear" w:color="auto" w:fill="auto"/>
            <w:noWrap/>
            <w:vAlign w:val="center"/>
            <w:hideMark/>
          </w:tcPr>
          <w:p w14:paraId="633D883F" w14:textId="77777777" w:rsidR="004337E6" w:rsidRPr="002812B0" w:rsidRDefault="004337E6" w:rsidP="008975E4">
            <w:pPr>
              <w:jc w:val="right"/>
              <w:rPr>
                <w:rFonts w:cstheme="minorHAnsi"/>
                <w:sz w:val="18"/>
                <w:szCs w:val="18"/>
              </w:rPr>
            </w:pPr>
            <w:r w:rsidRPr="002812B0">
              <w:rPr>
                <w:rFonts w:cstheme="minorHAnsi"/>
                <w:sz w:val="18"/>
                <w:szCs w:val="18"/>
              </w:rPr>
              <w:t>11.08</w:t>
            </w:r>
          </w:p>
        </w:tc>
        <w:tc>
          <w:tcPr>
            <w:tcW w:w="690" w:type="dxa"/>
            <w:gridSpan w:val="2"/>
            <w:tcBorders>
              <w:top w:val="nil"/>
              <w:left w:val="nil"/>
              <w:bottom w:val="nil"/>
              <w:right w:val="nil"/>
            </w:tcBorders>
            <w:shd w:val="clear" w:color="auto" w:fill="auto"/>
            <w:noWrap/>
            <w:vAlign w:val="center"/>
            <w:hideMark/>
          </w:tcPr>
          <w:p w14:paraId="4AA0BFEA" w14:textId="77777777" w:rsidR="004337E6" w:rsidRPr="002812B0" w:rsidRDefault="004337E6" w:rsidP="008975E4">
            <w:pPr>
              <w:jc w:val="right"/>
              <w:rPr>
                <w:rFonts w:cstheme="minorHAnsi"/>
                <w:b/>
                <w:bCs/>
                <w:sz w:val="18"/>
                <w:szCs w:val="18"/>
              </w:rPr>
            </w:pPr>
            <w:r w:rsidRPr="002812B0">
              <w:rPr>
                <w:rFonts w:cstheme="minorHAnsi"/>
                <w:b/>
                <w:bCs/>
                <w:sz w:val="18"/>
                <w:szCs w:val="18"/>
              </w:rPr>
              <w:t>79.38</w:t>
            </w:r>
          </w:p>
        </w:tc>
        <w:tc>
          <w:tcPr>
            <w:tcW w:w="974" w:type="dxa"/>
            <w:gridSpan w:val="2"/>
            <w:tcBorders>
              <w:top w:val="nil"/>
              <w:left w:val="nil"/>
              <w:bottom w:val="nil"/>
              <w:right w:val="nil"/>
            </w:tcBorders>
            <w:shd w:val="clear" w:color="auto" w:fill="auto"/>
            <w:noWrap/>
            <w:vAlign w:val="center"/>
            <w:hideMark/>
          </w:tcPr>
          <w:p w14:paraId="13EF447C" w14:textId="77777777" w:rsidR="004337E6" w:rsidRPr="002812B0" w:rsidRDefault="004337E6" w:rsidP="008975E4">
            <w:pPr>
              <w:jc w:val="right"/>
              <w:rPr>
                <w:rFonts w:cstheme="minorHAnsi"/>
                <w:sz w:val="18"/>
                <w:szCs w:val="18"/>
              </w:rPr>
            </w:pPr>
            <w:r w:rsidRPr="002812B0">
              <w:rPr>
                <w:rFonts w:cstheme="minorHAnsi"/>
                <w:sz w:val="18"/>
                <w:szCs w:val="18"/>
              </w:rPr>
              <w:t>8.27</w:t>
            </w:r>
          </w:p>
        </w:tc>
        <w:tc>
          <w:tcPr>
            <w:tcW w:w="894" w:type="dxa"/>
            <w:gridSpan w:val="2"/>
            <w:tcBorders>
              <w:top w:val="nil"/>
              <w:left w:val="nil"/>
              <w:bottom w:val="nil"/>
              <w:right w:val="nil"/>
            </w:tcBorders>
            <w:shd w:val="clear" w:color="auto" w:fill="auto"/>
            <w:noWrap/>
            <w:vAlign w:val="center"/>
            <w:hideMark/>
          </w:tcPr>
          <w:p w14:paraId="5D22FFAB" w14:textId="77777777" w:rsidR="004337E6" w:rsidRPr="002812B0" w:rsidRDefault="004337E6" w:rsidP="008975E4">
            <w:pPr>
              <w:jc w:val="right"/>
              <w:rPr>
                <w:rFonts w:cstheme="minorHAnsi"/>
                <w:sz w:val="18"/>
                <w:szCs w:val="18"/>
              </w:rPr>
            </w:pPr>
            <w:r w:rsidRPr="002812B0">
              <w:rPr>
                <w:rFonts w:cstheme="minorHAnsi"/>
                <w:sz w:val="18"/>
                <w:szCs w:val="18"/>
              </w:rPr>
              <w:t>5.61</w:t>
            </w:r>
          </w:p>
        </w:tc>
        <w:tc>
          <w:tcPr>
            <w:tcW w:w="659" w:type="dxa"/>
            <w:gridSpan w:val="2"/>
            <w:tcBorders>
              <w:top w:val="nil"/>
              <w:left w:val="nil"/>
              <w:bottom w:val="nil"/>
              <w:right w:val="nil"/>
            </w:tcBorders>
            <w:shd w:val="clear" w:color="auto" w:fill="auto"/>
            <w:noWrap/>
            <w:vAlign w:val="center"/>
            <w:hideMark/>
          </w:tcPr>
          <w:p w14:paraId="22B72CEC" w14:textId="77777777" w:rsidR="004337E6" w:rsidRPr="002812B0" w:rsidRDefault="004337E6" w:rsidP="008975E4">
            <w:pPr>
              <w:jc w:val="right"/>
              <w:rPr>
                <w:rFonts w:cstheme="minorHAnsi"/>
                <w:sz w:val="18"/>
                <w:szCs w:val="18"/>
              </w:rPr>
            </w:pPr>
            <w:r w:rsidRPr="002812B0">
              <w:rPr>
                <w:rFonts w:cstheme="minorHAnsi"/>
                <w:sz w:val="18"/>
                <w:szCs w:val="18"/>
              </w:rPr>
              <w:t>6.17</w:t>
            </w:r>
          </w:p>
        </w:tc>
        <w:tc>
          <w:tcPr>
            <w:tcW w:w="854" w:type="dxa"/>
            <w:tcBorders>
              <w:top w:val="nil"/>
              <w:left w:val="nil"/>
              <w:bottom w:val="nil"/>
              <w:right w:val="nil"/>
            </w:tcBorders>
            <w:shd w:val="clear" w:color="auto" w:fill="auto"/>
            <w:noWrap/>
            <w:vAlign w:val="center"/>
            <w:hideMark/>
          </w:tcPr>
          <w:p w14:paraId="68431F7E" w14:textId="77777777" w:rsidR="004337E6" w:rsidRPr="002812B0" w:rsidRDefault="004337E6" w:rsidP="008975E4">
            <w:pPr>
              <w:jc w:val="right"/>
              <w:rPr>
                <w:rFonts w:cstheme="minorHAnsi"/>
                <w:b/>
                <w:bCs/>
                <w:sz w:val="18"/>
                <w:szCs w:val="18"/>
              </w:rPr>
            </w:pPr>
            <w:r w:rsidRPr="002812B0">
              <w:rPr>
                <w:rFonts w:cstheme="minorHAnsi"/>
                <w:b/>
                <w:bCs/>
                <w:sz w:val="18"/>
                <w:szCs w:val="18"/>
              </w:rPr>
              <w:t>20.05</w:t>
            </w:r>
          </w:p>
        </w:tc>
        <w:tc>
          <w:tcPr>
            <w:tcW w:w="792" w:type="dxa"/>
            <w:tcBorders>
              <w:top w:val="nil"/>
              <w:left w:val="nil"/>
              <w:bottom w:val="nil"/>
              <w:right w:val="single" w:sz="4" w:space="0" w:color="auto"/>
            </w:tcBorders>
            <w:shd w:val="clear" w:color="auto" w:fill="auto"/>
            <w:noWrap/>
            <w:vAlign w:val="center"/>
            <w:hideMark/>
          </w:tcPr>
          <w:p w14:paraId="721C02BB" w14:textId="77777777" w:rsidR="004337E6" w:rsidRPr="002812B0" w:rsidRDefault="004337E6" w:rsidP="008975E4">
            <w:pPr>
              <w:jc w:val="right"/>
              <w:rPr>
                <w:rFonts w:cstheme="minorHAnsi"/>
                <w:sz w:val="18"/>
                <w:szCs w:val="18"/>
              </w:rPr>
            </w:pPr>
            <w:r w:rsidRPr="002812B0">
              <w:rPr>
                <w:rFonts w:cstheme="minorHAnsi"/>
                <w:sz w:val="18"/>
                <w:szCs w:val="18"/>
              </w:rPr>
              <w:t>0.56</w:t>
            </w:r>
          </w:p>
        </w:tc>
      </w:tr>
      <w:tr w:rsidR="004337E6" w:rsidRPr="002812B0" w14:paraId="46362204" w14:textId="77777777" w:rsidTr="008975E4">
        <w:trPr>
          <w:trHeight w:hRule="exact" w:val="284"/>
        </w:trPr>
        <w:tc>
          <w:tcPr>
            <w:tcW w:w="1452" w:type="dxa"/>
            <w:tcBorders>
              <w:top w:val="nil"/>
              <w:left w:val="single" w:sz="4" w:space="0" w:color="auto"/>
              <w:bottom w:val="nil"/>
              <w:right w:val="single" w:sz="4" w:space="0" w:color="auto"/>
            </w:tcBorders>
            <w:shd w:val="clear" w:color="auto" w:fill="auto"/>
            <w:noWrap/>
            <w:vAlign w:val="bottom"/>
            <w:hideMark/>
          </w:tcPr>
          <w:p w14:paraId="520D1F34" w14:textId="77777777" w:rsidR="004337E6" w:rsidRPr="002812B0" w:rsidRDefault="004337E6" w:rsidP="008975E4">
            <w:pPr>
              <w:rPr>
                <w:rFonts w:cstheme="minorHAnsi"/>
                <w:sz w:val="18"/>
                <w:szCs w:val="18"/>
              </w:rPr>
            </w:pPr>
            <w:r w:rsidRPr="002812B0">
              <w:rPr>
                <w:rFonts w:cstheme="minorHAnsi"/>
                <w:sz w:val="18"/>
                <w:szCs w:val="18"/>
              </w:rPr>
              <w:t>Austria</w:t>
            </w:r>
          </w:p>
        </w:tc>
        <w:tc>
          <w:tcPr>
            <w:tcW w:w="425" w:type="dxa"/>
            <w:tcBorders>
              <w:top w:val="nil"/>
              <w:left w:val="nil"/>
              <w:bottom w:val="nil"/>
              <w:right w:val="nil"/>
            </w:tcBorders>
            <w:shd w:val="clear" w:color="auto" w:fill="auto"/>
            <w:noWrap/>
            <w:vAlign w:val="bottom"/>
            <w:hideMark/>
          </w:tcPr>
          <w:p w14:paraId="5C72F7B0" w14:textId="77777777" w:rsidR="004337E6" w:rsidRPr="002812B0" w:rsidRDefault="004337E6" w:rsidP="008975E4">
            <w:pPr>
              <w:ind w:right="-111"/>
              <w:jc w:val="left"/>
              <w:rPr>
                <w:rFonts w:cstheme="minorHAnsi"/>
                <w:sz w:val="18"/>
                <w:szCs w:val="18"/>
              </w:rPr>
            </w:pPr>
            <w:r w:rsidRPr="002812B0">
              <w:rPr>
                <w:rFonts w:cstheme="minorHAnsi"/>
                <w:sz w:val="18"/>
                <w:szCs w:val="18"/>
              </w:rPr>
              <w:t>AT</w:t>
            </w:r>
          </w:p>
        </w:tc>
        <w:tc>
          <w:tcPr>
            <w:tcW w:w="992" w:type="dxa"/>
            <w:gridSpan w:val="2"/>
            <w:tcBorders>
              <w:top w:val="nil"/>
              <w:left w:val="single" w:sz="4" w:space="0" w:color="auto"/>
              <w:bottom w:val="nil"/>
              <w:right w:val="nil"/>
            </w:tcBorders>
            <w:shd w:val="clear" w:color="auto" w:fill="auto"/>
            <w:noWrap/>
            <w:vAlign w:val="bottom"/>
            <w:hideMark/>
          </w:tcPr>
          <w:p w14:paraId="4195070F" w14:textId="77777777" w:rsidR="004337E6" w:rsidRPr="002812B0" w:rsidRDefault="004337E6" w:rsidP="008975E4">
            <w:pPr>
              <w:jc w:val="right"/>
              <w:rPr>
                <w:rFonts w:cstheme="minorHAnsi"/>
                <w:sz w:val="18"/>
                <w:szCs w:val="18"/>
              </w:rPr>
            </w:pPr>
            <w:r w:rsidRPr="002812B0">
              <w:rPr>
                <w:rFonts w:cstheme="minorHAnsi"/>
                <w:sz w:val="18"/>
                <w:szCs w:val="18"/>
              </w:rPr>
              <w:t>74.52</w:t>
            </w:r>
          </w:p>
        </w:tc>
        <w:tc>
          <w:tcPr>
            <w:tcW w:w="992" w:type="dxa"/>
            <w:gridSpan w:val="2"/>
            <w:tcBorders>
              <w:top w:val="nil"/>
              <w:left w:val="nil"/>
              <w:bottom w:val="nil"/>
              <w:right w:val="nil"/>
            </w:tcBorders>
            <w:shd w:val="clear" w:color="auto" w:fill="auto"/>
            <w:noWrap/>
            <w:vAlign w:val="bottom"/>
            <w:hideMark/>
          </w:tcPr>
          <w:p w14:paraId="0D3CA86A" w14:textId="77777777" w:rsidR="004337E6" w:rsidRPr="002812B0" w:rsidRDefault="004337E6" w:rsidP="008975E4">
            <w:pPr>
              <w:jc w:val="right"/>
              <w:rPr>
                <w:rFonts w:cstheme="minorHAnsi"/>
                <w:sz w:val="18"/>
                <w:szCs w:val="18"/>
              </w:rPr>
            </w:pPr>
            <w:r w:rsidRPr="002812B0">
              <w:rPr>
                <w:rFonts w:cstheme="minorHAnsi"/>
                <w:sz w:val="18"/>
                <w:szCs w:val="18"/>
              </w:rPr>
              <w:t>8.93</w:t>
            </w:r>
          </w:p>
        </w:tc>
        <w:tc>
          <w:tcPr>
            <w:tcW w:w="851" w:type="dxa"/>
            <w:gridSpan w:val="2"/>
            <w:tcBorders>
              <w:top w:val="nil"/>
              <w:left w:val="nil"/>
              <w:bottom w:val="nil"/>
              <w:right w:val="nil"/>
            </w:tcBorders>
            <w:shd w:val="clear" w:color="auto" w:fill="auto"/>
            <w:noWrap/>
            <w:vAlign w:val="bottom"/>
            <w:hideMark/>
          </w:tcPr>
          <w:p w14:paraId="6B159570" w14:textId="77777777" w:rsidR="004337E6" w:rsidRPr="002812B0" w:rsidRDefault="004337E6" w:rsidP="008975E4">
            <w:pPr>
              <w:jc w:val="right"/>
              <w:rPr>
                <w:rFonts w:cstheme="minorHAnsi"/>
                <w:b/>
                <w:bCs/>
                <w:sz w:val="18"/>
                <w:szCs w:val="18"/>
              </w:rPr>
            </w:pPr>
            <w:r w:rsidRPr="002812B0">
              <w:rPr>
                <w:rFonts w:cstheme="minorHAnsi"/>
                <w:b/>
                <w:bCs/>
                <w:sz w:val="18"/>
                <w:szCs w:val="18"/>
              </w:rPr>
              <w:t>83.45</w:t>
            </w:r>
          </w:p>
        </w:tc>
        <w:tc>
          <w:tcPr>
            <w:tcW w:w="709" w:type="dxa"/>
            <w:gridSpan w:val="2"/>
            <w:tcBorders>
              <w:top w:val="nil"/>
              <w:left w:val="nil"/>
              <w:bottom w:val="nil"/>
              <w:right w:val="nil"/>
            </w:tcBorders>
            <w:shd w:val="clear" w:color="auto" w:fill="auto"/>
            <w:noWrap/>
            <w:vAlign w:val="bottom"/>
            <w:hideMark/>
          </w:tcPr>
          <w:p w14:paraId="3612ECF6" w14:textId="77777777" w:rsidR="004337E6" w:rsidRPr="002812B0" w:rsidRDefault="004337E6" w:rsidP="008975E4">
            <w:pPr>
              <w:jc w:val="right"/>
              <w:rPr>
                <w:rFonts w:cstheme="minorHAnsi"/>
                <w:sz w:val="18"/>
                <w:szCs w:val="18"/>
              </w:rPr>
            </w:pPr>
            <w:r w:rsidRPr="002812B0">
              <w:rPr>
                <w:rFonts w:cstheme="minorHAnsi"/>
                <w:sz w:val="18"/>
                <w:szCs w:val="18"/>
              </w:rPr>
              <w:t>1.90</w:t>
            </w:r>
          </w:p>
        </w:tc>
        <w:tc>
          <w:tcPr>
            <w:tcW w:w="817" w:type="dxa"/>
            <w:gridSpan w:val="2"/>
            <w:tcBorders>
              <w:top w:val="nil"/>
              <w:left w:val="nil"/>
              <w:bottom w:val="nil"/>
              <w:right w:val="nil"/>
            </w:tcBorders>
            <w:shd w:val="clear" w:color="auto" w:fill="auto"/>
            <w:noWrap/>
            <w:vAlign w:val="bottom"/>
            <w:hideMark/>
          </w:tcPr>
          <w:p w14:paraId="0F197C33" w14:textId="77777777" w:rsidR="004337E6" w:rsidRPr="002812B0" w:rsidRDefault="004337E6" w:rsidP="008975E4">
            <w:pPr>
              <w:jc w:val="right"/>
              <w:rPr>
                <w:rFonts w:cstheme="minorHAnsi"/>
                <w:sz w:val="18"/>
                <w:szCs w:val="18"/>
              </w:rPr>
            </w:pPr>
            <w:r w:rsidRPr="002812B0">
              <w:rPr>
                <w:rFonts w:cstheme="minorHAnsi"/>
                <w:sz w:val="18"/>
                <w:szCs w:val="18"/>
              </w:rPr>
              <w:t>8.93</w:t>
            </w:r>
          </w:p>
        </w:tc>
        <w:tc>
          <w:tcPr>
            <w:tcW w:w="659" w:type="dxa"/>
            <w:tcBorders>
              <w:top w:val="nil"/>
              <w:left w:val="nil"/>
              <w:bottom w:val="nil"/>
              <w:right w:val="nil"/>
            </w:tcBorders>
            <w:shd w:val="clear" w:color="auto" w:fill="auto"/>
            <w:noWrap/>
            <w:vAlign w:val="bottom"/>
            <w:hideMark/>
          </w:tcPr>
          <w:p w14:paraId="5FBE7A68" w14:textId="77777777" w:rsidR="004337E6" w:rsidRPr="002812B0" w:rsidRDefault="004337E6" w:rsidP="008975E4">
            <w:pPr>
              <w:jc w:val="right"/>
              <w:rPr>
                <w:rFonts w:cstheme="minorHAnsi"/>
                <w:sz w:val="18"/>
                <w:szCs w:val="18"/>
              </w:rPr>
            </w:pPr>
            <w:r w:rsidRPr="002812B0">
              <w:rPr>
                <w:rFonts w:cstheme="minorHAnsi"/>
                <w:sz w:val="18"/>
                <w:szCs w:val="18"/>
              </w:rPr>
              <w:t>5.24</w:t>
            </w:r>
          </w:p>
        </w:tc>
        <w:tc>
          <w:tcPr>
            <w:tcW w:w="933" w:type="dxa"/>
            <w:gridSpan w:val="2"/>
            <w:tcBorders>
              <w:top w:val="nil"/>
              <w:left w:val="nil"/>
              <w:bottom w:val="nil"/>
              <w:right w:val="nil"/>
            </w:tcBorders>
            <w:shd w:val="clear" w:color="auto" w:fill="auto"/>
            <w:noWrap/>
            <w:vAlign w:val="bottom"/>
            <w:hideMark/>
          </w:tcPr>
          <w:p w14:paraId="296AC55E" w14:textId="77777777" w:rsidR="004337E6" w:rsidRPr="002812B0" w:rsidRDefault="004337E6" w:rsidP="008975E4">
            <w:pPr>
              <w:jc w:val="right"/>
              <w:rPr>
                <w:rFonts w:cstheme="minorHAnsi"/>
                <w:b/>
                <w:bCs/>
                <w:sz w:val="18"/>
                <w:szCs w:val="18"/>
              </w:rPr>
            </w:pPr>
            <w:r w:rsidRPr="002812B0">
              <w:rPr>
                <w:rFonts w:cstheme="minorHAnsi"/>
                <w:b/>
                <w:bCs/>
                <w:sz w:val="18"/>
                <w:szCs w:val="18"/>
              </w:rPr>
              <w:t>16.07</w:t>
            </w:r>
          </w:p>
        </w:tc>
        <w:tc>
          <w:tcPr>
            <w:tcW w:w="709" w:type="dxa"/>
            <w:tcBorders>
              <w:top w:val="nil"/>
              <w:left w:val="nil"/>
              <w:bottom w:val="nil"/>
              <w:right w:val="single" w:sz="4" w:space="0" w:color="auto"/>
            </w:tcBorders>
            <w:shd w:val="clear" w:color="auto" w:fill="auto"/>
            <w:noWrap/>
            <w:vAlign w:val="bottom"/>
            <w:hideMark/>
          </w:tcPr>
          <w:p w14:paraId="00227BF9" w14:textId="77777777" w:rsidR="004337E6" w:rsidRPr="002812B0" w:rsidRDefault="004337E6" w:rsidP="008975E4">
            <w:pPr>
              <w:jc w:val="right"/>
              <w:rPr>
                <w:rFonts w:cstheme="minorHAnsi"/>
                <w:sz w:val="18"/>
                <w:szCs w:val="18"/>
              </w:rPr>
            </w:pPr>
            <w:r w:rsidRPr="002812B0">
              <w:rPr>
                <w:rFonts w:cstheme="minorHAnsi"/>
                <w:sz w:val="18"/>
                <w:szCs w:val="18"/>
              </w:rPr>
              <w:t>0.48</w:t>
            </w:r>
          </w:p>
        </w:tc>
        <w:tc>
          <w:tcPr>
            <w:tcW w:w="989" w:type="dxa"/>
            <w:gridSpan w:val="2"/>
            <w:tcBorders>
              <w:top w:val="nil"/>
              <w:left w:val="nil"/>
              <w:bottom w:val="nil"/>
              <w:right w:val="nil"/>
            </w:tcBorders>
            <w:shd w:val="clear" w:color="auto" w:fill="auto"/>
            <w:noWrap/>
            <w:vAlign w:val="center"/>
            <w:hideMark/>
          </w:tcPr>
          <w:p w14:paraId="45FAA43F" w14:textId="77777777" w:rsidR="004337E6" w:rsidRPr="002812B0" w:rsidRDefault="004337E6" w:rsidP="008975E4">
            <w:pPr>
              <w:jc w:val="right"/>
              <w:rPr>
                <w:rFonts w:cstheme="minorHAnsi"/>
                <w:sz w:val="18"/>
                <w:szCs w:val="18"/>
              </w:rPr>
            </w:pPr>
            <w:r w:rsidRPr="002812B0">
              <w:rPr>
                <w:rFonts w:cstheme="minorHAnsi"/>
                <w:sz w:val="18"/>
                <w:szCs w:val="18"/>
              </w:rPr>
              <w:t>75.47</w:t>
            </w:r>
          </w:p>
        </w:tc>
        <w:tc>
          <w:tcPr>
            <w:tcW w:w="894" w:type="dxa"/>
            <w:gridSpan w:val="2"/>
            <w:tcBorders>
              <w:top w:val="nil"/>
              <w:left w:val="nil"/>
              <w:bottom w:val="nil"/>
              <w:right w:val="nil"/>
            </w:tcBorders>
            <w:shd w:val="clear" w:color="auto" w:fill="auto"/>
            <w:noWrap/>
            <w:vAlign w:val="center"/>
            <w:hideMark/>
          </w:tcPr>
          <w:p w14:paraId="3B7BE5D9" w14:textId="77777777" w:rsidR="004337E6" w:rsidRPr="002812B0" w:rsidRDefault="004337E6" w:rsidP="008975E4">
            <w:pPr>
              <w:jc w:val="right"/>
              <w:rPr>
                <w:rFonts w:cstheme="minorHAnsi"/>
                <w:sz w:val="18"/>
                <w:szCs w:val="18"/>
              </w:rPr>
            </w:pPr>
            <w:r w:rsidRPr="002812B0">
              <w:rPr>
                <w:rFonts w:cstheme="minorHAnsi"/>
                <w:sz w:val="18"/>
                <w:szCs w:val="18"/>
              </w:rPr>
              <w:t>8.40</w:t>
            </w:r>
          </w:p>
        </w:tc>
        <w:tc>
          <w:tcPr>
            <w:tcW w:w="690" w:type="dxa"/>
            <w:gridSpan w:val="2"/>
            <w:tcBorders>
              <w:top w:val="nil"/>
              <w:left w:val="nil"/>
              <w:bottom w:val="nil"/>
              <w:right w:val="nil"/>
            </w:tcBorders>
            <w:shd w:val="clear" w:color="auto" w:fill="auto"/>
            <w:noWrap/>
            <w:vAlign w:val="center"/>
            <w:hideMark/>
          </w:tcPr>
          <w:p w14:paraId="1B2D7958" w14:textId="77777777" w:rsidR="004337E6" w:rsidRPr="002812B0" w:rsidRDefault="004337E6" w:rsidP="008975E4">
            <w:pPr>
              <w:jc w:val="right"/>
              <w:rPr>
                <w:rFonts w:cstheme="minorHAnsi"/>
                <w:b/>
                <w:bCs/>
                <w:sz w:val="18"/>
                <w:szCs w:val="18"/>
              </w:rPr>
            </w:pPr>
            <w:r w:rsidRPr="002812B0">
              <w:rPr>
                <w:rFonts w:cstheme="minorHAnsi"/>
                <w:b/>
                <w:bCs/>
                <w:sz w:val="18"/>
                <w:szCs w:val="18"/>
              </w:rPr>
              <w:t>83.87</w:t>
            </w:r>
          </w:p>
        </w:tc>
        <w:tc>
          <w:tcPr>
            <w:tcW w:w="974" w:type="dxa"/>
            <w:gridSpan w:val="2"/>
            <w:tcBorders>
              <w:top w:val="nil"/>
              <w:left w:val="nil"/>
              <w:bottom w:val="nil"/>
              <w:right w:val="nil"/>
            </w:tcBorders>
            <w:shd w:val="clear" w:color="auto" w:fill="auto"/>
            <w:noWrap/>
            <w:vAlign w:val="center"/>
            <w:hideMark/>
          </w:tcPr>
          <w:p w14:paraId="3A94F1B2" w14:textId="77777777" w:rsidR="004337E6" w:rsidRPr="002812B0" w:rsidRDefault="004337E6" w:rsidP="008975E4">
            <w:pPr>
              <w:jc w:val="right"/>
              <w:rPr>
                <w:rFonts w:cstheme="minorHAnsi"/>
                <w:sz w:val="18"/>
                <w:szCs w:val="18"/>
              </w:rPr>
            </w:pPr>
            <w:r w:rsidRPr="002812B0">
              <w:rPr>
                <w:rFonts w:cstheme="minorHAnsi"/>
                <w:sz w:val="18"/>
                <w:szCs w:val="18"/>
              </w:rPr>
              <w:t>4.61</w:t>
            </w:r>
          </w:p>
        </w:tc>
        <w:tc>
          <w:tcPr>
            <w:tcW w:w="894" w:type="dxa"/>
            <w:gridSpan w:val="2"/>
            <w:tcBorders>
              <w:top w:val="nil"/>
              <w:left w:val="nil"/>
              <w:bottom w:val="nil"/>
              <w:right w:val="nil"/>
            </w:tcBorders>
            <w:shd w:val="clear" w:color="auto" w:fill="auto"/>
            <w:noWrap/>
            <w:vAlign w:val="center"/>
            <w:hideMark/>
          </w:tcPr>
          <w:p w14:paraId="7F091380" w14:textId="77777777" w:rsidR="004337E6" w:rsidRPr="002812B0" w:rsidRDefault="004337E6" w:rsidP="008975E4">
            <w:pPr>
              <w:jc w:val="right"/>
              <w:rPr>
                <w:rFonts w:cstheme="minorHAnsi"/>
                <w:sz w:val="18"/>
                <w:szCs w:val="18"/>
              </w:rPr>
            </w:pPr>
            <w:r w:rsidRPr="002812B0">
              <w:rPr>
                <w:rFonts w:cstheme="minorHAnsi"/>
                <w:sz w:val="18"/>
                <w:szCs w:val="18"/>
              </w:rPr>
              <w:t>4.61</w:t>
            </w:r>
          </w:p>
        </w:tc>
        <w:tc>
          <w:tcPr>
            <w:tcW w:w="659" w:type="dxa"/>
            <w:gridSpan w:val="2"/>
            <w:tcBorders>
              <w:top w:val="nil"/>
              <w:left w:val="nil"/>
              <w:bottom w:val="nil"/>
              <w:right w:val="nil"/>
            </w:tcBorders>
            <w:shd w:val="clear" w:color="auto" w:fill="auto"/>
            <w:noWrap/>
            <w:vAlign w:val="center"/>
            <w:hideMark/>
          </w:tcPr>
          <w:p w14:paraId="1A3E0D8A" w14:textId="77777777" w:rsidR="004337E6" w:rsidRPr="002812B0" w:rsidRDefault="004337E6" w:rsidP="008975E4">
            <w:pPr>
              <w:jc w:val="right"/>
              <w:rPr>
                <w:rFonts w:cstheme="minorHAnsi"/>
                <w:sz w:val="18"/>
                <w:szCs w:val="18"/>
              </w:rPr>
            </w:pPr>
            <w:r w:rsidRPr="002812B0">
              <w:rPr>
                <w:rFonts w:cstheme="minorHAnsi"/>
                <w:sz w:val="18"/>
                <w:szCs w:val="18"/>
              </w:rPr>
              <w:t>5.15</w:t>
            </w:r>
          </w:p>
        </w:tc>
        <w:tc>
          <w:tcPr>
            <w:tcW w:w="854" w:type="dxa"/>
            <w:tcBorders>
              <w:top w:val="nil"/>
              <w:left w:val="nil"/>
              <w:bottom w:val="nil"/>
              <w:right w:val="nil"/>
            </w:tcBorders>
            <w:shd w:val="clear" w:color="auto" w:fill="auto"/>
            <w:noWrap/>
            <w:vAlign w:val="center"/>
            <w:hideMark/>
          </w:tcPr>
          <w:p w14:paraId="599A1A28" w14:textId="77777777" w:rsidR="004337E6" w:rsidRPr="002812B0" w:rsidRDefault="004337E6" w:rsidP="008975E4">
            <w:pPr>
              <w:jc w:val="right"/>
              <w:rPr>
                <w:rFonts w:cstheme="minorHAnsi"/>
                <w:b/>
                <w:bCs/>
                <w:sz w:val="18"/>
                <w:szCs w:val="18"/>
              </w:rPr>
            </w:pPr>
            <w:r w:rsidRPr="002812B0">
              <w:rPr>
                <w:rFonts w:cstheme="minorHAnsi"/>
                <w:b/>
                <w:bCs/>
                <w:sz w:val="18"/>
                <w:szCs w:val="18"/>
              </w:rPr>
              <w:t>14.37</w:t>
            </w:r>
          </w:p>
        </w:tc>
        <w:tc>
          <w:tcPr>
            <w:tcW w:w="792" w:type="dxa"/>
            <w:tcBorders>
              <w:top w:val="nil"/>
              <w:left w:val="nil"/>
              <w:bottom w:val="nil"/>
              <w:right w:val="single" w:sz="4" w:space="0" w:color="auto"/>
            </w:tcBorders>
            <w:shd w:val="clear" w:color="auto" w:fill="auto"/>
            <w:noWrap/>
            <w:vAlign w:val="center"/>
            <w:hideMark/>
          </w:tcPr>
          <w:p w14:paraId="07EA6520" w14:textId="77777777" w:rsidR="004337E6" w:rsidRPr="002812B0" w:rsidRDefault="004337E6" w:rsidP="008975E4">
            <w:pPr>
              <w:jc w:val="right"/>
              <w:rPr>
                <w:rFonts w:cstheme="minorHAnsi"/>
                <w:sz w:val="18"/>
                <w:szCs w:val="18"/>
              </w:rPr>
            </w:pPr>
            <w:r w:rsidRPr="002812B0">
              <w:rPr>
                <w:rFonts w:cstheme="minorHAnsi"/>
                <w:sz w:val="18"/>
                <w:szCs w:val="18"/>
              </w:rPr>
              <w:t>1.76</w:t>
            </w:r>
          </w:p>
        </w:tc>
      </w:tr>
      <w:tr w:rsidR="004337E6" w:rsidRPr="002812B0" w14:paraId="3DB4DD68" w14:textId="77777777" w:rsidTr="008975E4">
        <w:trPr>
          <w:trHeight w:hRule="exact" w:val="284"/>
        </w:trPr>
        <w:tc>
          <w:tcPr>
            <w:tcW w:w="1452" w:type="dxa"/>
            <w:tcBorders>
              <w:top w:val="nil"/>
              <w:left w:val="single" w:sz="4" w:space="0" w:color="auto"/>
              <w:bottom w:val="nil"/>
              <w:right w:val="single" w:sz="4" w:space="0" w:color="auto"/>
            </w:tcBorders>
            <w:shd w:val="clear" w:color="auto" w:fill="auto"/>
            <w:noWrap/>
            <w:vAlign w:val="bottom"/>
            <w:hideMark/>
          </w:tcPr>
          <w:p w14:paraId="25C3BF6F" w14:textId="77777777" w:rsidR="004337E6" w:rsidRPr="002812B0" w:rsidRDefault="004337E6" w:rsidP="008975E4">
            <w:pPr>
              <w:rPr>
                <w:rFonts w:cstheme="minorHAnsi"/>
                <w:sz w:val="18"/>
                <w:szCs w:val="18"/>
              </w:rPr>
            </w:pPr>
            <w:r w:rsidRPr="002812B0">
              <w:rPr>
                <w:rFonts w:cstheme="minorHAnsi"/>
                <w:sz w:val="18"/>
                <w:szCs w:val="18"/>
              </w:rPr>
              <w:t>Spain</w:t>
            </w:r>
          </w:p>
        </w:tc>
        <w:tc>
          <w:tcPr>
            <w:tcW w:w="425" w:type="dxa"/>
            <w:tcBorders>
              <w:top w:val="nil"/>
              <w:left w:val="nil"/>
              <w:bottom w:val="nil"/>
              <w:right w:val="nil"/>
            </w:tcBorders>
            <w:shd w:val="clear" w:color="auto" w:fill="auto"/>
            <w:noWrap/>
            <w:vAlign w:val="bottom"/>
            <w:hideMark/>
          </w:tcPr>
          <w:p w14:paraId="6193BFD7" w14:textId="77777777" w:rsidR="004337E6" w:rsidRPr="002812B0" w:rsidRDefault="004337E6" w:rsidP="008975E4">
            <w:pPr>
              <w:ind w:right="-111"/>
              <w:jc w:val="left"/>
              <w:rPr>
                <w:rFonts w:cstheme="minorHAnsi"/>
                <w:sz w:val="18"/>
                <w:szCs w:val="18"/>
              </w:rPr>
            </w:pPr>
            <w:r w:rsidRPr="002812B0">
              <w:rPr>
                <w:rFonts w:cstheme="minorHAnsi"/>
                <w:sz w:val="18"/>
                <w:szCs w:val="18"/>
              </w:rPr>
              <w:t>ES</w:t>
            </w:r>
          </w:p>
        </w:tc>
        <w:tc>
          <w:tcPr>
            <w:tcW w:w="992" w:type="dxa"/>
            <w:gridSpan w:val="2"/>
            <w:tcBorders>
              <w:top w:val="nil"/>
              <w:left w:val="single" w:sz="4" w:space="0" w:color="auto"/>
              <w:bottom w:val="nil"/>
              <w:right w:val="nil"/>
            </w:tcBorders>
            <w:shd w:val="clear" w:color="auto" w:fill="auto"/>
            <w:noWrap/>
            <w:vAlign w:val="bottom"/>
            <w:hideMark/>
          </w:tcPr>
          <w:p w14:paraId="7C3395FC" w14:textId="77777777" w:rsidR="004337E6" w:rsidRPr="002812B0" w:rsidRDefault="004337E6" w:rsidP="008975E4">
            <w:pPr>
              <w:jc w:val="right"/>
              <w:rPr>
                <w:rFonts w:cstheme="minorHAnsi"/>
                <w:sz w:val="18"/>
                <w:szCs w:val="18"/>
              </w:rPr>
            </w:pPr>
            <w:r w:rsidRPr="002812B0">
              <w:rPr>
                <w:rFonts w:cstheme="minorHAnsi"/>
                <w:sz w:val="18"/>
                <w:szCs w:val="18"/>
              </w:rPr>
              <w:t>69.72</w:t>
            </w:r>
          </w:p>
        </w:tc>
        <w:tc>
          <w:tcPr>
            <w:tcW w:w="992" w:type="dxa"/>
            <w:gridSpan w:val="2"/>
            <w:tcBorders>
              <w:top w:val="nil"/>
              <w:left w:val="nil"/>
              <w:bottom w:val="nil"/>
              <w:right w:val="nil"/>
            </w:tcBorders>
            <w:shd w:val="clear" w:color="auto" w:fill="auto"/>
            <w:noWrap/>
            <w:vAlign w:val="bottom"/>
            <w:hideMark/>
          </w:tcPr>
          <w:p w14:paraId="620DE08D" w14:textId="77777777" w:rsidR="004337E6" w:rsidRPr="002812B0" w:rsidRDefault="004337E6" w:rsidP="008975E4">
            <w:pPr>
              <w:jc w:val="right"/>
              <w:rPr>
                <w:rFonts w:cstheme="minorHAnsi"/>
                <w:sz w:val="18"/>
                <w:szCs w:val="18"/>
              </w:rPr>
            </w:pPr>
            <w:r w:rsidRPr="002812B0">
              <w:rPr>
                <w:rFonts w:cstheme="minorHAnsi"/>
                <w:sz w:val="18"/>
                <w:szCs w:val="18"/>
              </w:rPr>
              <w:t>12.83</w:t>
            </w:r>
          </w:p>
        </w:tc>
        <w:tc>
          <w:tcPr>
            <w:tcW w:w="851" w:type="dxa"/>
            <w:gridSpan w:val="2"/>
            <w:tcBorders>
              <w:top w:val="nil"/>
              <w:left w:val="nil"/>
              <w:bottom w:val="nil"/>
              <w:right w:val="nil"/>
            </w:tcBorders>
            <w:shd w:val="clear" w:color="auto" w:fill="auto"/>
            <w:noWrap/>
            <w:vAlign w:val="bottom"/>
            <w:hideMark/>
          </w:tcPr>
          <w:p w14:paraId="496C72BD" w14:textId="77777777" w:rsidR="004337E6" w:rsidRPr="002812B0" w:rsidRDefault="004337E6" w:rsidP="008975E4">
            <w:pPr>
              <w:jc w:val="right"/>
              <w:rPr>
                <w:rFonts w:cstheme="minorHAnsi"/>
                <w:b/>
                <w:bCs/>
                <w:sz w:val="18"/>
                <w:szCs w:val="18"/>
              </w:rPr>
            </w:pPr>
            <w:r w:rsidRPr="002812B0">
              <w:rPr>
                <w:rFonts w:cstheme="minorHAnsi"/>
                <w:b/>
                <w:bCs/>
                <w:sz w:val="18"/>
                <w:szCs w:val="18"/>
              </w:rPr>
              <w:t>82.55</w:t>
            </w:r>
          </w:p>
        </w:tc>
        <w:tc>
          <w:tcPr>
            <w:tcW w:w="709" w:type="dxa"/>
            <w:gridSpan w:val="2"/>
            <w:tcBorders>
              <w:top w:val="nil"/>
              <w:left w:val="nil"/>
              <w:bottom w:val="nil"/>
              <w:right w:val="nil"/>
            </w:tcBorders>
            <w:shd w:val="clear" w:color="auto" w:fill="auto"/>
            <w:noWrap/>
            <w:vAlign w:val="bottom"/>
            <w:hideMark/>
          </w:tcPr>
          <w:p w14:paraId="607A9D9E" w14:textId="77777777" w:rsidR="004337E6" w:rsidRPr="002812B0" w:rsidRDefault="004337E6" w:rsidP="008975E4">
            <w:pPr>
              <w:jc w:val="right"/>
              <w:rPr>
                <w:rFonts w:cstheme="minorHAnsi"/>
                <w:sz w:val="18"/>
                <w:szCs w:val="18"/>
              </w:rPr>
            </w:pPr>
            <w:r w:rsidRPr="002812B0">
              <w:rPr>
                <w:rFonts w:cstheme="minorHAnsi"/>
                <w:sz w:val="18"/>
                <w:szCs w:val="18"/>
              </w:rPr>
              <w:t>6.75</w:t>
            </w:r>
          </w:p>
        </w:tc>
        <w:tc>
          <w:tcPr>
            <w:tcW w:w="817" w:type="dxa"/>
            <w:gridSpan w:val="2"/>
            <w:tcBorders>
              <w:top w:val="nil"/>
              <w:left w:val="nil"/>
              <w:bottom w:val="nil"/>
              <w:right w:val="nil"/>
            </w:tcBorders>
            <w:shd w:val="clear" w:color="auto" w:fill="auto"/>
            <w:noWrap/>
            <w:vAlign w:val="bottom"/>
            <w:hideMark/>
          </w:tcPr>
          <w:p w14:paraId="5AFD91E2" w14:textId="77777777" w:rsidR="004337E6" w:rsidRPr="002812B0" w:rsidRDefault="004337E6" w:rsidP="008975E4">
            <w:pPr>
              <w:jc w:val="right"/>
              <w:rPr>
                <w:rFonts w:cstheme="minorHAnsi"/>
                <w:sz w:val="18"/>
                <w:szCs w:val="18"/>
              </w:rPr>
            </w:pPr>
            <w:r w:rsidRPr="002812B0">
              <w:rPr>
                <w:rFonts w:cstheme="minorHAnsi"/>
                <w:sz w:val="18"/>
                <w:szCs w:val="18"/>
              </w:rPr>
              <w:t>2.36</w:t>
            </w:r>
          </w:p>
        </w:tc>
        <w:tc>
          <w:tcPr>
            <w:tcW w:w="659" w:type="dxa"/>
            <w:tcBorders>
              <w:top w:val="nil"/>
              <w:left w:val="nil"/>
              <w:bottom w:val="nil"/>
              <w:right w:val="nil"/>
            </w:tcBorders>
            <w:shd w:val="clear" w:color="auto" w:fill="auto"/>
            <w:noWrap/>
            <w:vAlign w:val="bottom"/>
            <w:hideMark/>
          </w:tcPr>
          <w:p w14:paraId="4CD282FD" w14:textId="77777777" w:rsidR="004337E6" w:rsidRPr="002812B0" w:rsidRDefault="004337E6" w:rsidP="008975E4">
            <w:pPr>
              <w:jc w:val="right"/>
              <w:rPr>
                <w:rFonts w:cstheme="minorHAnsi"/>
                <w:sz w:val="18"/>
                <w:szCs w:val="18"/>
              </w:rPr>
            </w:pPr>
            <w:r w:rsidRPr="002812B0">
              <w:rPr>
                <w:rFonts w:cstheme="minorHAnsi"/>
                <w:sz w:val="18"/>
                <w:szCs w:val="18"/>
              </w:rPr>
              <w:t>6.94</w:t>
            </w:r>
          </w:p>
        </w:tc>
        <w:tc>
          <w:tcPr>
            <w:tcW w:w="933" w:type="dxa"/>
            <w:gridSpan w:val="2"/>
            <w:tcBorders>
              <w:top w:val="nil"/>
              <w:left w:val="nil"/>
              <w:bottom w:val="nil"/>
              <w:right w:val="nil"/>
            </w:tcBorders>
            <w:shd w:val="clear" w:color="auto" w:fill="auto"/>
            <w:noWrap/>
            <w:vAlign w:val="bottom"/>
            <w:hideMark/>
          </w:tcPr>
          <w:p w14:paraId="42F7EF5D" w14:textId="77777777" w:rsidR="004337E6" w:rsidRPr="002812B0" w:rsidRDefault="004337E6" w:rsidP="008975E4">
            <w:pPr>
              <w:jc w:val="right"/>
              <w:rPr>
                <w:rFonts w:cstheme="minorHAnsi"/>
                <w:b/>
                <w:bCs/>
                <w:sz w:val="18"/>
                <w:szCs w:val="18"/>
              </w:rPr>
            </w:pPr>
            <w:r w:rsidRPr="002812B0">
              <w:rPr>
                <w:rFonts w:cstheme="minorHAnsi"/>
                <w:b/>
                <w:bCs/>
                <w:sz w:val="18"/>
                <w:szCs w:val="18"/>
              </w:rPr>
              <w:t>16.05</w:t>
            </w:r>
          </w:p>
        </w:tc>
        <w:tc>
          <w:tcPr>
            <w:tcW w:w="709" w:type="dxa"/>
            <w:tcBorders>
              <w:top w:val="nil"/>
              <w:left w:val="nil"/>
              <w:bottom w:val="nil"/>
              <w:right w:val="single" w:sz="4" w:space="0" w:color="auto"/>
            </w:tcBorders>
            <w:shd w:val="clear" w:color="auto" w:fill="auto"/>
            <w:noWrap/>
            <w:vAlign w:val="bottom"/>
            <w:hideMark/>
          </w:tcPr>
          <w:p w14:paraId="3CA69941" w14:textId="77777777" w:rsidR="004337E6" w:rsidRPr="002812B0" w:rsidRDefault="004337E6" w:rsidP="008975E4">
            <w:pPr>
              <w:jc w:val="right"/>
              <w:rPr>
                <w:rFonts w:cstheme="minorHAnsi"/>
                <w:sz w:val="18"/>
                <w:szCs w:val="18"/>
              </w:rPr>
            </w:pPr>
            <w:r w:rsidRPr="002812B0">
              <w:rPr>
                <w:rFonts w:cstheme="minorHAnsi"/>
                <w:sz w:val="18"/>
                <w:szCs w:val="18"/>
              </w:rPr>
              <w:t>1.40</w:t>
            </w:r>
          </w:p>
        </w:tc>
        <w:tc>
          <w:tcPr>
            <w:tcW w:w="989" w:type="dxa"/>
            <w:gridSpan w:val="2"/>
            <w:tcBorders>
              <w:top w:val="nil"/>
              <w:left w:val="nil"/>
              <w:bottom w:val="nil"/>
              <w:right w:val="nil"/>
            </w:tcBorders>
            <w:shd w:val="clear" w:color="auto" w:fill="auto"/>
            <w:noWrap/>
            <w:vAlign w:val="center"/>
            <w:hideMark/>
          </w:tcPr>
          <w:p w14:paraId="5E521D9D" w14:textId="77777777" w:rsidR="004337E6" w:rsidRPr="002812B0" w:rsidRDefault="004337E6" w:rsidP="008975E4">
            <w:pPr>
              <w:jc w:val="right"/>
              <w:rPr>
                <w:rFonts w:cstheme="minorHAnsi"/>
                <w:sz w:val="18"/>
                <w:szCs w:val="18"/>
              </w:rPr>
            </w:pPr>
            <w:r w:rsidRPr="002812B0">
              <w:rPr>
                <w:rFonts w:cstheme="minorHAnsi"/>
                <w:sz w:val="18"/>
                <w:szCs w:val="18"/>
              </w:rPr>
              <w:t>55.04</w:t>
            </w:r>
          </w:p>
        </w:tc>
        <w:tc>
          <w:tcPr>
            <w:tcW w:w="894" w:type="dxa"/>
            <w:gridSpan w:val="2"/>
            <w:tcBorders>
              <w:top w:val="nil"/>
              <w:left w:val="nil"/>
              <w:bottom w:val="nil"/>
              <w:right w:val="nil"/>
            </w:tcBorders>
            <w:shd w:val="clear" w:color="auto" w:fill="auto"/>
            <w:noWrap/>
            <w:vAlign w:val="center"/>
            <w:hideMark/>
          </w:tcPr>
          <w:p w14:paraId="0F47096C" w14:textId="77777777" w:rsidR="004337E6" w:rsidRPr="002812B0" w:rsidRDefault="004337E6" w:rsidP="008975E4">
            <w:pPr>
              <w:jc w:val="right"/>
              <w:rPr>
                <w:rFonts w:cstheme="minorHAnsi"/>
                <w:sz w:val="18"/>
                <w:szCs w:val="18"/>
              </w:rPr>
            </w:pPr>
            <w:r w:rsidRPr="002812B0">
              <w:rPr>
                <w:rFonts w:cstheme="minorHAnsi"/>
                <w:sz w:val="18"/>
                <w:szCs w:val="18"/>
              </w:rPr>
              <w:t>15.19</w:t>
            </w:r>
          </w:p>
        </w:tc>
        <w:tc>
          <w:tcPr>
            <w:tcW w:w="690" w:type="dxa"/>
            <w:gridSpan w:val="2"/>
            <w:tcBorders>
              <w:top w:val="nil"/>
              <w:left w:val="nil"/>
              <w:bottom w:val="nil"/>
              <w:right w:val="nil"/>
            </w:tcBorders>
            <w:shd w:val="clear" w:color="auto" w:fill="auto"/>
            <w:noWrap/>
            <w:vAlign w:val="center"/>
            <w:hideMark/>
          </w:tcPr>
          <w:p w14:paraId="3341319A" w14:textId="77777777" w:rsidR="004337E6" w:rsidRPr="002812B0" w:rsidRDefault="004337E6" w:rsidP="008975E4">
            <w:pPr>
              <w:jc w:val="right"/>
              <w:rPr>
                <w:rFonts w:cstheme="minorHAnsi"/>
                <w:b/>
                <w:bCs/>
                <w:sz w:val="18"/>
                <w:szCs w:val="18"/>
              </w:rPr>
            </w:pPr>
            <w:r w:rsidRPr="002812B0">
              <w:rPr>
                <w:rFonts w:cstheme="minorHAnsi"/>
                <w:b/>
                <w:bCs/>
                <w:sz w:val="18"/>
                <w:szCs w:val="18"/>
              </w:rPr>
              <w:t>70.23</w:t>
            </w:r>
          </w:p>
        </w:tc>
        <w:tc>
          <w:tcPr>
            <w:tcW w:w="974" w:type="dxa"/>
            <w:gridSpan w:val="2"/>
            <w:tcBorders>
              <w:top w:val="nil"/>
              <w:left w:val="nil"/>
              <w:bottom w:val="nil"/>
              <w:right w:val="nil"/>
            </w:tcBorders>
            <w:shd w:val="clear" w:color="auto" w:fill="auto"/>
            <w:noWrap/>
            <w:vAlign w:val="center"/>
            <w:hideMark/>
          </w:tcPr>
          <w:p w14:paraId="6718B1B7" w14:textId="77777777" w:rsidR="004337E6" w:rsidRPr="002812B0" w:rsidRDefault="004337E6" w:rsidP="008975E4">
            <w:pPr>
              <w:jc w:val="right"/>
              <w:rPr>
                <w:rFonts w:cstheme="minorHAnsi"/>
                <w:sz w:val="18"/>
                <w:szCs w:val="18"/>
              </w:rPr>
            </w:pPr>
            <w:r w:rsidRPr="002812B0">
              <w:rPr>
                <w:rFonts w:cstheme="minorHAnsi"/>
                <w:sz w:val="18"/>
                <w:szCs w:val="18"/>
              </w:rPr>
              <w:t>16.90</w:t>
            </w:r>
          </w:p>
        </w:tc>
        <w:tc>
          <w:tcPr>
            <w:tcW w:w="894" w:type="dxa"/>
            <w:gridSpan w:val="2"/>
            <w:tcBorders>
              <w:top w:val="nil"/>
              <w:left w:val="nil"/>
              <w:bottom w:val="nil"/>
              <w:right w:val="nil"/>
            </w:tcBorders>
            <w:shd w:val="clear" w:color="auto" w:fill="auto"/>
            <w:noWrap/>
            <w:vAlign w:val="center"/>
            <w:hideMark/>
          </w:tcPr>
          <w:p w14:paraId="3966B257" w14:textId="77777777" w:rsidR="004337E6" w:rsidRPr="002812B0" w:rsidRDefault="004337E6" w:rsidP="008975E4">
            <w:pPr>
              <w:jc w:val="right"/>
              <w:rPr>
                <w:rFonts w:cstheme="minorHAnsi"/>
                <w:sz w:val="18"/>
                <w:szCs w:val="18"/>
              </w:rPr>
            </w:pPr>
            <w:r w:rsidRPr="002812B0">
              <w:rPr>
                <w:rFonts w:cstheme="minorHAnsi"/>
                <w:sz w:val="18"/>
                <w:szCs w:val="18"/>
              </w:rPr>
              <w:t>2.56</w:t>
            </w:r>
          </w:p>
        </w:tc>
        <w:tc>
          <w:tcPr>
            <w:tcW w:w="659" w:type="dxa"/>
            <w:gridSpan w:val="2"/>
            <w:tcBorders>
              <w:top w:val="nil"/>
              <w:left w:val="nil"/>
              <w:bottom w:val="nil"/>
              <w:right w:val="nil"/>
            </w:tcBorders>
            <w:shd w:val="clear" w:color="auto" w:fill="auto"/>
            <w:noWrap/>
            <w:vAlign w:val="center"/>
            <w:hideMark/>
          </w:tcPr>
          <w:p w14:paraId="33D48CEC" w14:textId="77777777" w:rsidR="004337E6" w:rsidRPr="002812B0" w:rsidRDefault="004337E6" w:rsidP="008975E4">
            <w:pPr>
              <w:jc w:val="right"/>
              <w:rPr>
                <w:rFonts w:cstheme="minorHAnsi"/>
                <w:sz w:val="18"/>
                <w:szCs w:val="18"/>
              </w:rPr>
            </w:pPr>
            <w:r w:rsidRPr="002812B0">
              <w:rPr>
                <w:rFonts w:cstheme="minorHAnsi"/>
                <w:sz w:val="18"/>
                <w:szCs w:val="18"/>
              </w:rPr>
              <w:t>8.23</w:t>
            </w:r>
          </w:p>
        </w:tc>
        <w:tc>
          <w:tcPr>
            <w:tcW w:w="854" w:type="dxa"/>
            <w:tcBorders>
              <w:top w:val="nil"/>
              <w:left w:val="nil"/>
              <w:bottom w:val="nil"/>
              <w:right w:val="nil"/>
            </w:tcBorders>
            <w:shd w:val="clear" w:color="auto" w:fill="auto"/>
            <w:noWrap/>
            <w:vAlign w:val="center"/>
            <w:hideMark/>
          </w:tcPr>
          <w:p w14:paraId="7C2F00FD" w14:textId="77777777" w:rsidR="004337E6" w:rsidRPr="002812B0" w:rsidRDefault="004337E6" w:rsidP="008975E4">
            <w:pPr>
              <w:jc w:val="right"/>
              <w:rPr>
                <w:rFonts w:cstheme="minorHAnsi"/>
                <w:b/>
                <w:bCs/>
                <w:sz w:val="18"/>
                <w:szCs w:val="18"/>
              </w:rPr>
            </w:pPr>
            <w:r w:rsidRPr="002812B0">
              <w:rPr>
                <w:rFonts w:cstheme="minorHAnsi"/>
                <w:b/>
                <w:bCs/>
                <w:sz w:val="18"/>
                <w:szCs w:val="18"/>
              </w:rPr>
              <w:t>27.69</w:t>
            </w:r>
          </w:p>
        </w:tc>
        <w:tc>
          <w:tcPr>
            <w:tcW w:w="792" w:type="dxa"/>
            <w:tcBorders>
              <w:top w:val="nil"/>
              <w:left w:val="nil"/>
              <w:bottom w:val="nil"/>
              <w:right w:val="single" w:sz="4" w:space="0" w:color="auto"/>
            </w:tcBorders>
            <w:shd w:val="clear" w:color="auto" w:fill="auto"/>
            <w:noWrap/>
            <w:vAlign w:val="center"/>
            <w:hideMark/>
          </w:tcPr>
          <w:p w14:paraId="3245E026" w14:textId="77777777" w:rsidR="004337E6" w:rsidRPr="002812B0" w:rsidRDefault="004337E6" w:rsidP="008975E4">
            <w:pPr>
              <w:jc w:val="right"/>
              <w:rPr>
                <w:rFonts w:cstheme="minorHAnsi"/>
                <w:sz w:val="18"/>
                <w:szCs w:val="18"/>
              </w:rPr>
            </w:pPr>
            <w:r w:rsidRPr="002812B0">
              <w:rPr>
                <w:rFonts w:cstheme="minorHAnsi"/>
                <w:sz w:val="18"/>
                <w:szCs w:val="18"/>
              </w:rPr>
              <w:t>2.08</w:t>
            </w:r>
          </w:p>
        </w:tc>
      </w:tr>
      <w:tr w:rsidR="004337E6" w:rsidRPr="002812B0" w14:paraId="3CE19324" w14:textId="77777777" w:rsidTr="008975E4">
        <w:trPr>
          <w:trHeight w:hRule="exact" w:val="284"/>
        </w:trPr>
        <w:tc>
          <w:tcPr>
            <w:tcW w:w="1452" w:type="dxa"/>
            <w:tcBorders>
              <w:top w:val="nil"/>
              <w:left w:val="single" w:sz="4" w:space="0" w:color="auto"/>
              <w:bottom w:val="nil"/>
              <w:right w:val="single" w:sz="4" w:space="0" w:color="auto"/>
            </w:tcBorders>
            <w:shd w:val="clear" w:color="auto" w:fill="auto"/>
            <w:noWrap/>
            <w:vAlign w:val="bottom"/>
            <w:hideMark/>
          </w:tcPr>
          <w:p w14:paraId="5E9EC32F" w14:textId="77777777" w:rsidR="004337E6" w:rsidRPr="002812B0" w:rsidRDefault="004337E6" w:rsidP="008975E4">
            <w:pPr>
              <w:rPr>
                <w:rFonts w:cstheme="minorHAnsi"/>
                <w:sz w:val="18"/>
                <w:szCs w:val="18"/>
              </w:rPr>
            </w:pPr>
            <w:r w:rsidRPr="002812B0">
              <w:rPr>
                <w:rFonts w:cstheme="minorHAnsi"/>
                <w:sz w:val="18"/>
                <w:szCs w:val="18"/>
              </w:rPr>
              <w:t>Lithuania</w:t>
            </w:r>
          </w:p>
        </w:tc>
        <w:tc>
          <w:tcPr>
            <w:tcW w:w="425" w:type="dxa"/>
            <w:tcBorders>
              <w:top w:val="nil"/>
              <w:left w:val="nil"/>
              <w:bottom w:val="nil"/>
              <w:right w:val="nil"/>
            </w:tcBorders>
            <w:shd w:val="clear" w:color="auto" w:fill="auto"/>
            <w:noWrap/>
            <w:vAlign w:val="bottom"/>
            <w:hideMark/>
          </w:tcPr>
          <w:p w14:paraId="0BB2CB34" w14:textId="77777777" w:rsidR="004337E6" w:rsidRPr="002812B0" w:rsidRDefault="004337E6" w:rsidP="008975E4">
            <w:pPr>
              <w:ind w:right="-111"/>
              <w:jc w:val="left"/>
              <w:rPr>
                <w:rFonts w:cstheme="minorHAnsi"/>
                <w:sz w:val="18"/>
                <w:szCs w:val="18"/>
              </w:rPr>
            </w:pPr>
            <w:r w:rsidRPr="002812B0">
              <w:rPr>
                <w:rFonts w:cstheme="minorHAnsi"/>
                <w:sz w:val="18"/>
                <w:szCs w:val="18"/>
              </w:rPr>
              <w:t>LT</w:t>
            </w:r>
          </w:p>
        </w:tc>
        <w:tc>
          <w:tcPr>
            <w:tcW w:w="992" w:type="dxa"/>
            <w:gridSpan w:val="2"/>
            <w:tcBorders>
              <w:top w:val="nil"/>
              <w:left w:val="single" w:sz="4" w:space="0" w:color="auto"/>
              <w:bottom w:val="nil"/>
              <w:right w:val="nil"/>
            </w:tcBorders>
            <w:shd w:val="clear" w:color="auto" w:fill="auto"/>
            <w:noWrap/>
            <w:vAlign w:val="bottom"/>
            <w:hideMark/>
          </w:tcPr>
          <w:p w14:paraId="652A374C" w14:textId="77777777" w:rsidR="004337E6" w:rsidRPr="002812B0" w:rsidRDefault="004337E6" w:rsidP="008975E4">
            <w:pPr>
              <w:jc w:val="right"/>
              <w:rPr>
                <w:rFonts w:cstheme="minorHAnsi"/>
                <w:sz w:val="18"/>
                <w:szCs w:val="18"/>
              </w:rPr>
            </w:pPr>
            <w:r w:rsidRPr="002812B0">
              <w:rPr>
                <w:rFonts w:cstheme="minorHAnsi"/>
                <w:sz w:val="18"/>
                <w:szCs w:val="18"/>
              </w:rPr>
              <w:t>74.47</w:t>
            </w:r>
          </w:p>
        </w:tc>
        <w:tc>
          <w:tcPr>
            <w:tcW w:w="992" w:type="dxa"/>
            <w:gridSpan w:val="2"/>
            <w:tcBorders>
              <w:top w:val="nil"/>
              <w:left w:val="nil"/>
              <w:bottom w:val="nil"/>
              <w:right w:val="nil"/>
            </w:tcBorders>
            <w:shd w:val="clear" w:color="auto" w:fill="auto"/>
            <w:noWrap/>
            <w:vAlign w:val="bottom"/>
            <w:hideMark/>
          </w:tcPr>
          <w:p w14:paraId="1F983B4C" w14:textId="77777777" w:rsidR="004337E6" w:rsidRPr="002812B0" w:rsidRDefault="004337E6" w:rsidP="008975E4">
            <w:pPr>
              <w:jc w:val="right"/>
              <w:rPr>
                <w:rFonts w:cstheme="minorHAnsi"/>
                <w:sz w:val="18"/>
                <w:szCs w:val="18"/>
              </w:rPr>
            </w:pPr>
            <w:r w:rsidRPr="002812B0">
              <w:rPr>
                <w:rFonts w:cstheme="minorHAnsi"/>
                <w:sz w:val="18"/>
                <w:szCs w:val="18"/>
              </w:rPr>
              <w:t>9.67</w:t>
            </w:r>
          </w:p>
        </w:tc>
        <w:tc>
          <w:tcPr>
            <w:tcW w:w="851" w:type="dxa"/>
            <w:gridSpan w:val="2"/>
            <w:tcBorders>
              <w:top w:val="nil"/>
              <w:left w:val="nil"/>
              <w:bottom w:val="nil"/>
              <w:right w:val="nil"/>
            </w:tcBorders>
            <w:shd w:val="clear" w:color="auto" w:fill="auto"/>
            <w:noWrap/>
            <w:vAlign w:val="bottom"/>
            <w:hideMark/>
          </w:tcPr>
          <w:p w14:paraId="2E27A089" w14:textId="77777777" w:rsidR="004337E6" w:rsidRPr="002812B0" w:rsidRDefault="004337E6" w:rsidP="008975E4">
            <w:pPr>
              <w:jc w:val="right"/>
              <w:rPr>
                <w:rFonts w:cstheme="minorHAnsi"/>
                <w:b/>
                <w:bCs/>
                <w:sz w:val="18"/>
                <w:szCs w:val="18"/>
              </w:rPr>
            </w:pPr>
            <w:r w:rsidRPr="002812B0">
              <w:rPr>
                <w:rFonts w:cstheme="minorHAnsi"/>
                <w:b/>
                <w:bCs/>
                <w:sz w:val="18"/>
                <w:szCs w:val="18"/>
              </w:rPr>
              <w:t>84.14</w:t>
            </w:r>
          </w:p>
        </w:tc>
        <w:tc>
          <w:tcPr>
            <w:tcW w:w="709" w:type="dxa"/>
            <w:gridSpan w:val="2"/>
            <w:tcBorders>
              <w:top w:val="nil"/>
              <w:left w:val="nil"/>
              <w:bottom w:val="nil"/>
              <w:right w:val="nil"/>
            </w:tcBorders>
            <w:shd w:val="clear" w:color="auto" w:fill="auto"/>
            <w:noWrap/>
            <w:vAlign w:val="bottom"/>
            <w:hideMark/>
          </w:tcPr>
          <w:p w14:paraId="41467E03" w14:textId="77777777" w:rsidR="004337E6" w:rsidRPr="002812B0" w:rsidRDefault="004337E6" w:rsidP="008975E4">
            <w:pPr>
              <w:jc w:val="right"/>
              <w:rPr>
                <w:rFonts w:cstheme="minorHAnsi"/>
                <w:sz w:val="18"/>
                <w:szCs w:val="18"/>
              </w:rPr>
            </w:pPr>
            <w:r w:rsidRPr="002812B0">
              <w:rPr>
                <w:rFonts w:cstheme="minorHAnsi"/>
                <w:sz w:val="18"/>
                <w:szCs w:val="18"/>
              </w:rPr>
              <w:t>4.64</w:t>
            </w:r>
          </w:p>
        </w:tc>
        <w:tc>
          <w:tcPr>
            <w:tcW w:w="817" w:type="dxa"/>
            <w:gridSpan w:val="2"/>
            <w:tcBorders>
              <w:top w:val="nil"/>
              <w:left w:val="nil"/>
              <w:bottom w:val="nil"/>
              <w:right w:val="nil"/>
            </w:tcBorders>
            <w:shd w:val="clear" w:color="auto" w:fill="auto"/>
            <w:noWrap/>
            <w:vAlign w:val="bottom"/>
            <w:hideMark/>
          </w:tcPr>
          <w:p w14:paraId="485D158D" w14:textId="77777777" w:rsidR="004337E6" w:rsidRPr="002812B0" w:rsidRDefault="004337E6" w:rsidP="008975E4">
            <w:pPr>
              <w:jc w:val="right"/>
              <w:rPr>
                <w:rFonts w:cstheme="minorHAnsi"/>
                <w:sz w:val="18"/>
                <w:szCs w:val="18"/>
              </w:rPr>
            </w:pPr>
            <w:r w:rsidRPr="002812B0">
              <w:rPr>
                <w:rFonts w:cstheme="minorHAnsi"/>
                <w:sz w:val="18"/>
                <w:szCs w:val="18"/>
              </w:rPr>
              <w:t>7.54</w:t>
            </w:r>
          </w:p>
        </w:tc>
        <w:tc>
          <w:tcPr>
            <w:tcW w:w="659" w:type="dxa"/>
            <w:tcBorders>
              <w:top w:val="nil"/>
              <w:left w:val="nil"/>
              <w:bottom w:val="nil"/>
              <w:right w:val="nil"/>
            </w:tcBorders>
            <w:shd w:val="clear" w:color="auto" w:fill="auto"/>
            <w:noWrap/>
            <w:vAlign w:val="bottom"/>
            <w:hideMark/>
          </w:tcPr>
          <w:p w14:paraId="3610A19B" w14:textId="77777777" w:rsidR="004337E6" w:rsidRPr="002812B0" w:rsidRDefault="004337E6" w:rsidP="008975E4">
            <w:pPr>
              <w:jc w:val="right"/>
              <w:rPr>
                <w:rFonts w:cstheme="minorHAnsi"/>
                <w:sz w:val="18"/>
                <w:szCs w:val="18"/>
              </w:rPr>
            </w:pPr>
            <w:r w:rsidRPr="002812B0">
              <w:rPr>
                <w:rFonts w:cstheme="minorHAnsi"/>
                <w:sz w:val="18"/>
                <w:szCs w:val="18"/>
              </w:rPr>
              <w:t>3.29</w:t>
            </w:r>
          </w:p>
        </w:tc>
        <w:tc>
          <w:tcPr>
            <w:tcW w:w="933" w:type="dxa"/>
            <w:gridSpan w:val="2"/>
            <w:tcBorders>
              <w:top w:val="nil"/>
              <w:left w:val="nil"/>
              <w:bottom w:val="nil"/>
              <w:right w:val="nil"/>
            </w:tcBorders>
            <w:shd w:val="clear" w:color="auto" w:fill="auto"/>
            <w:noWrap/>
            <w:vAlign w:val="bottom"/>
            <w:hideMark/>
          </w:tcPr>
          <w:p w14:paraId="371499EA" w14:textId="77777777" w:rsidR="004337E6" w:rsidRPr="002812B0" w:rsidRDefault="004337E6" w:rsidP="008975E4">
            <w:pPr>
              <w:jc w:val="right"/>
              <w:rPr>
                <w:rFonts w:cstheme="minorHAnsi"/>
                <w:b/>
                <w:bCs/>
                <w:sz w:val="18"/>
                <w:szCs w:val="18"/>
              </w:rPr>
            </w:pPr>
            <w:r w:rsidRPr="002812B0">
              <w:rPr>
                <w:rFonts w:cstheme="minorHAnsi"/>
                <w:b/>
                <w:bCs/>
                <w:sz w:val="18"/>
                <w:szCs w:val="18"/>
              </w:rPr>
              <w:t>15.47</w:t>
            </w:r>
          </w:p>
        </w:tc>
        <w:tc>
          <w:tcPr>
            <w:tcW w:w="709" w:type="dxa"/>
            <w:tcBorders>
              <w:top w:val="nil"/>
              <w:left w:val="nil"/>
              <w:bottom w:val="nil"/>
              <w:right w:val="single" w:sz="4" w:space="0" w:color="auto"/>
            </w:tcBorders>
            <w:shd w:val="clear" w:color="auto" w:fill="auto"/>
            <w:noWrap/>
            <w:vAlign w:val="bottom"/>
            <w:hideMark/>
          </w:tcPr>
          <w:p w14:paraId="2C618159" w14:textId="77777777" w:rsidR="004337E6" w:rsidRPr="002812B0" w:rsidRDefault="004337E6" w:rsidP="008975E4">
            <w:pPr>
              <w:jc w:val="right"/>
              <w:rPr>
                <w:rFonts w:cstheme="minorHAnsi"/>
                <w:sz w:val="18"/>
                <w:szCs w:val="18"/>
              </w:rPr>
            </w:pPr>
            <w:r w:rsidRPr="002812B0">
              <w:rPr>
                <w:rFonts w:cstheme="minorHAnsi"/>
                <w:sz w:val="18"/>
                <w:szCs w:val="18"/>
              </w:rPr>
              <w:t>0.39</w:t>
            </w:r>
          </w:p>
        </w:tc>
        <w:tc>
          <w:tcPr>
            <w:tcW w:w="989" w:type="dxa"/>
            <w:gridSpan w:val="2"/>
            <w:tcBorders>
              <w:top w:val="nil"/>
              <w:left w:val="nil"/>
              <w:bottom w:val="nil"/>
              <w:right w:val="nil"/>
            </w:tcBorders>
            <w:shd w:val="clear" w:color="auto" w:fill="auto"/>
            <w:noWrap/>
            <w:vAlign w:val="center"/>
            <w:hideMark/>
          </w:tcPr>
          <w:p w14:paraId="33ABF6EB" w14:textId="77777777" w:rsidR="004337E6" w:rsidRPr="002812B0" w:rsidRDefault="004337E6" w:rsidP="008975E4">
            <w:pPr>
              <w:jc w:val="right"/>
              <w:rPr>
                <w:rFonts w:cstheme="minorHAnsi"/>
                <w:sz w:val="18"/>
                <w:szCs w:val="18"/>
              </w:rPr>
            </w:pPr>
            <w:r w:rsidRPr="002812B0">
              <w:rPr>
                <w:rFonts w:cstheme="minorHAnsi"/>
                <w:sz w:val="18"/>
                <w:szCs w:val="18"/>
              </w:rPr>
              <w:t>64.75</w:t>
            </w:r>
          </w:p>
        </w:tc>
        <w:tc>
          <w:tcPr>
            <w:tcW w:w="894" w:type="dxa"/>
            <w:gridSpan w:val="2"/>
            <w:tcBorders>
              <w:top w:val="nil"/>
              <w:left w:val="nil"/>
              <w:bottom w:val="nil"/>
              <w:right w:val="nil"/>
            </w:tcBorders>
            <w:shd w:val="clear" w:color="auto" w:fill="auto"/>
            <w:noWrap/>
            <w:vAlign w:val="center"/>
            <w:hideMark/>
          </w:tcPr>
          <w:p w14:paraId="672C6910" w14:textId="77777777" w:rsidR="004337E6" w:rsidRPr="002812B0" w:rsidRDefault="004337E6" w:rsidP="008975E4">
            <w:pPr>
              <w:jc w:val="right"/>
              <w:rPr>
                <w:rFonts w:cstheme="minorHAnsi"/>
                <w:sz w:val="18"/>
                <w:szCs w:val="18"/>
              </w:rPr>
            </w:pPr>
            <w:r w:rsidRPr="002812B0">
              <w:rPr>
                <w:rFonts w:cstheme="minorHAnsi"/>
                <w:sz w:val="18"/>
                <w:szCs w:val="18"/>
              </w:rPr>
              <w:t>11.11</w:t>
            </w:r>
          </w:p>
        </w:tc>
        <w:tc>
          <w:tcPr>
            <w:tcW w:w="690" w:type="dxa"/>
            <w:gridSpan w:val="2"/>
            <w:tcBorders>
              <w:top w:val="nil"/>
              <w:left w:val="nil"/>
              <w:bottom w:val="nil"/>
              <w:right w:val="nil"/>
            </w:tcBorders>
            <w:shd w:val="clear" w:color="auto" w:fill="auto"/>
            <w:noWrap/>
            <w:vAlign w:val="center"/>
            <w:hideMark/>
          </w:tcPr>
          <w:p w14:paraId="2DC786E5" w14:textId="77777777" w:rsidR="004337E6" w:rsidRPr="002812B0" w:rsidRDefault="004337E6" w:rsidP="008975E4">
            <w:pPr>
              <w:jc w:val="right"/>
              <w:rPr>
                <w:rFonts w:cstheme="minorHAnsi"/>
                <w:b/>
                <w:bCs/>
                <w:sz w:val="18"/>
                <w:szCs w:val="18"/>
              </w:rPr>
            </w:pPr>
            <w:r w:rsidRPr="002812B0">
              <w:rPr>
                <w:rFonts w:cstheme="minorHAnsi"/>
                <w:b/>
                <w:bCs/>
                <w:sz w:val="18"/>
                <w:szCs w:val="18"/>
              </w:rPr>
              <w:t>75.86</w:t>
            </w:r>
          </w:p>
        </w:tc>
        <w:tc>
          <w:tcPr>
            <w:tcW w:w="974" w:type="dxa"/>
            <w:gridSpan w:val="2"/>
            <w:tcBorders>
              <w:top w:val="nil"/>
              <w:left w:val="nil"/>
              <w:bottom w:val="nil"/>
              <w:right w:val="nil"/>
            </w:tcBorders>
            <w:shd w:val="clear" w:color="auto" w:fill="auto"/>
            <w:noWrap/>
            <w:vAlign w:val="center"/>
            <w:hideMark/>
          </w:tcPr>
          <w:p w14:paraId="5A8ED13D" w14:textId="77777777" w:rsidR="004337E6" w:rsidRPr="002812B0" w:rsidRDefault="004337E6" w:rsidP="008975E4">
            <w:pPr>
              <w:jc w:val="right"/>
              <w:rPr>
                <w:rFonts w:cstheme="minorHAnsi"/>
                <w:sz w:val="18"/>
                <w:szCs w:val="18"/>
              </w:rPr>
            </w:pPr>
            <w:r w:rsidRPr="002812B0">
              <w:rPr>
                <w:rFonts w:cstheme="minorHAnsi"/>
                <w:sz w:val="18"/>
                <w:szCs w:val="18"/>
              </w:rPr>
              <w:t>12.64</w:t>
            </w:r>
          </w:p>
        </w:tc>
        <w:tc>
          <w:tcPr>
            <w:tcW w:w="894" w:type="dxa"/>
            <w:gridSpan w:val="2"/>
            <w:tcBorders>
              <w:top w:val="nil"/>
              <w:left w:val="nil"/>
              <w:bottom w:val="nil"/>
              <w:right w:val="nil"/>
            </w:tcBorders>
            <w:shd w:val="clear" w:color="auto" w:fill="auto"/>
            <w:noWrap/>
            <w:vAlign w:val="center"/>
            <w:hideMark/>
          </w:tcPr>
          <w:p w14:paraId="33FDE707" w14:textId="77777777" w:rsidR="004337E6" w:rsidRPr="002812B0" w:rsidRDefault="004337E6" w:rsidP="008975E4">
            <w:pPr>
              <w:jc w:val="right"/>
              <w:rPr>
                <w:rFonts w:cstheme="minorHAnsi"/>
                <w:sz w:val="18"/>
                <w:szCs w:val="18"/>
              </w:rPr>
            </w:pPr>
            <w:r w:rsidRPr="002812B0">
              <w:rPr>
                <w:rFonts w:cstheme="minorHAnsi"/>
                <w:sz w:val="18"/>
                <w:szCs w:val="18"/>
              </w:rPr>
              <w:t>6.90</w:t>
            </w:r>
          </w:p>
        </w:tc>
        <w:tc>
          <w:tcPr>
            <w:tcW w:w="659" w:type="dxa"/>
            <w:gridSpan w:val="2"/>
            <w:tcBorders>
              <w:top w:val="nil"/>
              <w:left w:val="nil"/>
              <w:bottom w:val="nil"/>
              <w:right w:val="nil"/>
            </w:tcBorders>
            <w:shd w:val="clear" w:color="auto" w:fill="auto"/>
            <w:noWrap/>
            <w:vAlign w:val="center"/>
            <w:hideMark/>
          </w:tcPr>
          <w:p w14:paraId="2E94D787" w14:textId="77777777" w:rsidR="004337E6" w:rsidRPr="002812B0" w:rsidRDefault="004337E6" w:rsidP="008975E4">
            <w:pPr>
              <w:jc w:val="right"/>
              <w:rPr>
                <w:rFonts w:cstheme="minorHAnsi"/>
                <w:sz w:val="18"/>
                <w:szCs w:val="18"/>
              </w:rPr>
            </w:pPr>
            <w:r w:rsidRPr="002812B0">
              <w:rPr>
                <w:rFonts w:cstheme="minorHAnsi"/>
                <w:sz w:val="18"/>
                <w:szCs w:val="18"/>
              </w:rPr>
              <w:t>4.41</w:t>
            </w:r>
          </w:p>
        </w:tc>
        <w:tc>
          <w:tcPr>
            <w:tcW w:w="854" w:type="dxa"/>
            <w:tcBorders>
              <w:top w:val="nil"/>
              <w:left w:val="nil"/>
              <w:bottom w:val="nil"/>
              <w:right w:val="nil"/>
            </w:tcBorders>
            <w:shd w:val="clear" w:color="auto" w:fill="auto"/>
            <w:noWrap/>
            <w:vAlign w:val="center"/>
            <w:hideMark/>
          </w:tcPr>
          <w:p w14:paraId="1F1D23AC" w14:textId="77777777" w:rsidR="004337E6" w:rsidRPr="002812B0" w:rsidRDefault="004337E6" w:rsidP="008975E4">
            <w:pPr>
              <w:jc w:val="right"/>
              <w:rPr>
                <w:rFonts w:cstheme="minorHAnsi"/>
                <w:b/>
                <w:bCs/>
                <w:sz w:val="18"/>
                <w:szCs w:val="18"/>
              </w:rPr>
            </w:pPr>
            <w:r w:rsidRPr="002812B0">
              <w:rPr>
                <w:rFonts w:cstheme="minorHAnsi"/>
                <w:b/>
                <w:bCs/>
                <w:sz w:val="18"/>
                <w:szCs w:val="18"/>
              </w:rPr>
              <w:t>23.95</w:t>
            </w:r>
          </w:p>
        </w:tc>
        <w:tc>
          <w:tcPr>
            <w:tcW w:w="792" w:type="dxa"/>
            <w:tcBorders>
              <w:top w:val="nil"/>
              <w:left w:val="nil"/>
              <w:bottom w:val="nil"/>
              <w:right w:val="single" w:sz="4" w:space="0" w:color="auto"/>
            </w:tcBorders>
            <w:shd w:val="clear" w:color="auto" w:fill="auto"/>
            <w:noWrap/>
            <w:vAlign w:val="center"/>
            <w:hideMark/>
          </w:tcPr>
          <w:p w14:paraId="3BEE37DB" w14:textId="77777777" w:rsidR="004337E6" w:rsidRPr="002812B0" w:rsidRDefault="004337E6" w:rsidP="008975E4">
            <w:pPr>
              <w:jc w:val="right"/>
              <w:rPr>
                <w:rFonts w:cstheme="minorHAnsi"/>
                <w:sz w:val="18"/>
                <w:szCs w:val="18"/>
              </w:rPr>
            </w:pPr>
            <w:r w:rsidRPr="002812B0">
              <w:rPr>
                <w:rFonts w:cstheme="minorHAnsi"/>
                <w:sz w:val="18"/>
                <w:szCs w:val="18"/>
              </w:rPr>
              <w:t>0.19</w:t>
            </w:r>
          </w:p>
        </w:tc>
      </w:tr>
      <w:tr w:rsidR="004337E6" w:rsidRPr="002812B0" w14:paraId="76CEAA8C" w14:textId="77777777" w:rsidTr="008975E4">
        <w:trPr>
          <w:trHeight w:hRule="exact" w:val="284"/>
        </w:trPr>
        <w:tc>
          <w:tcPr>
            <w:tcW w:w="1452" w:type="dxa"/>
            <w:tcBorders>
              <w:top w:val="nil"/>
              <w:left w:val="single" w:sz="4" w:space="0" w:color="auto"/>
              <w:bottom w:val="nil"/>
              <w:right w:val="single" w:sz="4" w:space="0" w:color="auto"/>
            </w:tcBorders>
            <w:shd w:val="clear" w:color="auto" w:fill="auto"/>
            <w:noWrap/>
            <w:vAlign w:val="bottom"/>
            <w:hideMark/>
          </w:tcPr>
          <w:p w14:paraId="34D6A9F7" w14:textId="77777777" w:rsidR="004337E6" w:rsidRPr="002812B0" w:rsidRDefault="004337E6" w:rsidP="008975E4">
            <w:pPr>
              <w:rPr>
                <w:rFonts w:cstheme="minorHAnsi"/>
                <w:sz w:val="18"/>
                <w:szCs w:val="18"/>
              </w:rPr>
            </w:pPr>
            <w:r w:rsidRPr="002812B0">
              <w:rPr>
                <w:rFonts w:cstheme="minorHAnsi"/>
                <w:sz w:val="18"/>
                <w:szCs w:val="18"/>
              </w:rPr>
              <w:t>Slovakia</w:t>
            </w:r>
          </w:p>
        </w:tc>
        <w:tc>
          <w:tcPr>
            <w:tcW w:w="425" w:type="dxa"/>
            <w:tcBorders>
              <w:top w:val="nil"/>
              <w:left w:val="nil"/>
              <w:bottom w:val="nil"/>
              <w:right w:val="nil"/>
            </w:tcBorders>
            <w:shd w:val="clear" w:color="auto" w:fill="auto"/>
            <w:noWrap/>
            <w:vAlign w:val="bottom"/>
            <w:hideMark/>
          </w:tcPr>
          <w:p w14:paraId="2A433310" w14:textId="77777777" w:rsidR="004337E6" w:rsidRPr="002812B0" w:rsidRDefault="004337E6" w:rsidP="008975E4">
            <w:pPr>
              <w:ind w:right="-111"/>
              <w:jc w:val="left"/>
              <w:rPr>
                <w:rFonts w:cstheme="minorHAnsi"/>
                <w:sz w:val="18"/>
                <w:szCs w:val="18"/>
              </w:rPr>
            </w:pPr>
            <w:r w:rsidRPr="002812B0">
              <w:rPr>
                <w:rFonts w:cstheme="minorHAnsi"/>
                <w:sz w:val="18"/>
                <w:szCs w:val="18"/>
              </w:rPr>
              <w:t>SK</w:t>
            </w:r>
          </w:p>
        </w:tc>
        <w:tc>
          <w:tcPr>
            <w:tcW w:w="992" w:type="dxa"/>
            <w:gridSpan w:val="2"/>
            <w:tcBorders>
              <w:top w:val="nil"/>
              <w:left w:val="single" w:sz="4" w:space="0" w:color="auto"/>
              <w:bottom w:val="nil"/>
              <w:right w:val="nil"/>
            </w:tcBorders>
            <w:shd w:val="clear" w:color="auto" w:fill="auto"/>
            <w:noWrap/>
            <w:vAlign w:val="bottom"/>
            <w:hideMark/>
          </w:tcPr>
          <w:p w14:paraId="6F0AA77B" w14:textId="77777777" w:rsidR="004337E6" w:rsidRPr="002812B0" w:rsidRDefault="004337E6" w:rsidP="008975E4">
            <w:pPr>
              <w:jc w:val="right"/>
              <w:rPr>
                <w:rFonts w:cstheme="minorHAnsi"/>
                <w:sz w:val="18"/>
                <w:szCs w:val="18"/>
              </w:rPr>
            </w:pPr>
            <w:r w:rsidRPr="002812B0">
              <w:rPr>
                <w:rFonts w:cstheme="minorHAnsi"/>
                <w:sz w:val="18"/>
                <w:szCs w:val="18"/>
              </w:rPr>
              <w:t>74.93</w:t>
            </w:r>
          </w:p>
        </w:tc>
        <w:tc>
          <w:tcPr>
            <w:tcW w:w="992" w:type="dxa"/>
            <w:gridSpan w:val="2"/>
            <w:tcBorders>
              <w:top w:val="nil"/>
              <w:left w:val="nil"/>
              <w:bottom w:val="nil"/>
              <w:right w:val="nil"/>
            </w:tcBorders>
            <w:shd w:val="clear" w:color="auto" w:fill="auto"/>
            <w:noWrap/>
            <w:vAlign w:val="bottom"/>
            <w:hideMark/>
          </w:tcPr>
          <w:p w14:paraId="06C7FC25" w14:textId="77777777" w:rsidR="004337E6" w:rsidRPr="002812B0" w:rsidRDefault="004337E6" w:rsidP="008975E4">
            <w:pPr>
              <w:jc w:val="right"/>
              <w:rPr>
                <w:rFonts w:cstheme="minorHAnsi"/>
                <w:sz w:val="18"/>
                <w:szCs w:val="18"/>
              </w:rPr>
            </w:pPr>
            <w:r w:rsidRPr="002812B0">
              <w:rPr>
                <w:rFonts w:cstheme="minorHAnsi"/>
                <w:sz w:val="18"/>
                <w:szCs w:val="18"/>
              </w:rPr>
              <w:t>10.35</w:t>
            </w:r>
          </w:p>
        </w:tc>
        <w:tc>
          <w:tcPr>
            <w:tcW w:w="851" w:type="dxa"/>
            <w:gridSpan w:val="2"/>
            <w:tcBorders>
              <w:top w:val="nil"/>
              <w:left w:val="nil"/>
              <w:bottom w:val="nil"/>
              <w:right w:val="nil"/>
            </w:tcBorders>
            <w:shd w:val="clear" w:color="auto" w:fill="auto"/>
            <w:noWrap/>
            <w:vAlign w:val="bottom"/>
            <w:hideMark/>
          </w:tcPr>
          <w:p w14:paraId="4120BE7B" w14:textId="77777777" w:rsidR="004337E6" w:rsidRPr="002812B0" w:rsidRDefault="004337E6" w:rsidP="008975E4">
            <w:pPr>
              <w:jc w:val="right"/>
              <w:rPr>
                <w:rFonts w:cstheme="minorHAnsi"/>
                <w:b/>
                <w:bCs/>
                <w:sz w:val="18"/>
                <w:szCs w:val="18"/>
              </w:rPr>
            </w:pPr>
            <w:r w:rsidRPr="002812B0">
              <w:rPr>
                <w:rFonts w:cstheme="minorHAnsi"/>
                <w:b/>
                <w:bCs/>
                <w:sz w:val="18"/>
                <w:szCs w:val="18"/>
              </w:rPr>
              <w:t>85.28</w:t>
            </w:r>
          </w:p>
        </w:tc>
        <w:tc>
          <w:tcPr>
            <w:tcW w:w="709" w:type="dxa"/>
            <w:gridSpan w:val="2"/>
            <w:tcBorders>
              <w:top w:val="nil"/>
              <w:left w:val="nil"/>
              <w:bottom w:val="nil"/>
              <w:right w:val="nil"/>
            </w:tcBorders>
            <w:shd w:val="clear" w:color="auto" w:fill="auto"/>
            <w:noWrap/>
            <w:vAlign w:val="bottom"/>
            <w:hideMark/>
          </w:tcPr>
          <w:p w14:paraId="20384083" w14:textId="77777777" w:rsidR="004337E6" w:rsidRPr="002812B0" w:rsidRDefault="004337E6" w:rsidP="008975E4">
            <w:pPr>
              <w:jc w:val="right"/>
              <w:rPr>
                <w:rFonts w:cstheme="minorHAnsi"/>
                <w:sz w:val="18"/>
                <w:szCs w:val="18"/>
              </w:rPr>
            </w:pPr>
            <w:r w:rsidRPr="002812B0">
              <w:rPr>
                <w:rFonts w:cstheme="minorHAnsi"/>
                <w:sz w:val="18"/>
                <w:szCs w:val="18"/>
              </w:rPr>
              <w:t>9.18</w:t>
            </w:r>
          </w:p>
        </w:tc>
        <w:tc>
          <w:tcPr>
            <w:tcW w:w="817" w:type="dxa"/>
            <w:gridSpan w:val="2"/>
            <w:tcBorders>
              <w:top w:val="nil"/>
              <w:left w:val="nil"/>
              <w:bottom w:val="nil"/>
              <w:right w:val="nil"/>
            </w:tcBorders>
            <w:shd w:val="clear" w:color="auto" w:fill="auto"/>
            <w:noWrap/>
            <w:vAlign w:val="bottom"/>
            <w:hideMark/>
          </w:tcPr>
          <w:p w14:paraId="290FB48A" w14:textId="77777777" w:rsidR="004337E6" w:rsidRPr="002812B0" w:rsidRDefault="004337E6" w:rsidP="008975E4">
            <w:pPr>
              <w:jc w:val="right"/>
              <w:rPr>
                <w:rFonts w:cstheme="minorHAnsi"/>
                <w:sz w:val="18"/>
                <w:szCs w:val="18"/>
              </w:rPr>
            </w:pPr>
            <w:r w:rsidRPr="002812B0">
              <w:rPr>
                <w:rFonts w:cstheme="minorHAnsi"/>
                <w:sz w:val="18"/>
                <w:szCs w:val="18"/>
              </w:rPr>
              <w:t>4.37</w:t>
            </w:r>
          </w:p>
        </w:tc>
        <w:tc>
          <w:tcPr>
            <w:tcW w:w="659" w:type="dxa"/>
            <w:tcBorders>
              <w:top w:val="nil"/>
              <w:left w:val="nil"/>
              <w:bottom w:val="nil"/>
              <w:right w:val="nil"/>
            </w:tcBorders>
            <w:shd w:val="clear" w:color="auto" w:fill="auto"/>
            <w:noWrap/>
            <w:vAlign w:val="bottom"/>
            <w:hideMark/>
          </w:tcPr>
          <w:p w14:paraId="5A8DC888" w14:textId="77777777" w:rsidR="004337E6" w:rsidRPr="002812B0" w:rsidRDefault="004337E6" w:rsidP="008975E4">
            <w:pPr>
              <w:jc w:val="right"/>
              <w:rPr>
                <w:rFonts w:cstheme="minorHAnsi"/>
                <w:sz w:val="18"/>
                <w:szCs w:val="18"/>
              </w:rPr>
            </w:pPr>
            <w:r w:rsidRPr="002812B0">
              <w:rPr>
                <w:rFonts w:cstheme="minorHAnsi"/>
                <w:sz w:val="18"/>
                <w:szCs w:val="18"/>
              </w:rPr>
              <w:t>1.09</w:t>
            </w:r>
          </w:p>
        </w:tc>
        <w:tc>
          <w:tcPr>
            <w:tcW w:w="933" w:type="dxa"/>
            <w:gridSpan w:val="2"/>
            <w:tcBorders>
              <w:top w:val="nil"/>
              <w:left w:val="nil"/>
              <w:bottom w:val="nil"/>
              <w:right w:val="nil"/>
            </w:tcBorders>
            <w:shd w:val="clear" w:color="auto" w:fill="auto"/>
            <w:noWrap/>
            <w:vAlign w:val="bottom"/>
            <w:hideMark/>
          </w:tcPr>
          <w:p w14:paraId="0C52DE4E" w14:textId="77777777" w:rsidR="004337E6" w:rsidRPr="002812B0" w:rsidRDefault="004337E6" w:rsidP="008975E4">
            <w:pPr>
              <w:jc w:val="right"/>
              <w:rPr>
                <w:rFonts w:cstheme="minorHAnsi"/>
                <w:b/>
                <w:bCs/>
                <w:sz w:val="18"/>
                <w:szCs w:val="18"/>
              </w:rPr>
            </w:pPr>
            <w:r w:rsidRPr="002812B0">
              <w:rPr>
                <w:rFonts w:cstheme="minorHAnsi"/>
                <w:b/>
                <w:bCs/>
                <w:sz w:val="18"/>
                <w:szCs w:val="18"/>
              </w:rPr>
              <w:t>14.64</w:t>
            </w:r>
          </w:p>
        </w:tc>
        <w:tc>
          <w:tcPr>
            <w:tcW w:w="709" w:type="dxa"/>
            <w:tcBorders>
              <w:top w:val="nil"/>
              <w:left w:val="nil"/>
              <w:bottom w:val="nil"/>
              <w:right w:val="single" w:sz="4" w:space="0" w:color="auto"/>
            </w:tcBorders>
            <w:shd w:val="clear" w:color="auto" w:fill="auto"/>
            <w:noWrap/>
            <w:vAlign w:val="bottom"/>
            <w:hideMark/>
          </w:tcPr>
          <w:p w14:paraId="62270218" w14:textId="77777777" w:rsidR="004337E6" w:rsidRPr="002812B0" w:rsidRDefault="004337E6" w:rsidP="008975E4">
            <w:pPr>
              <w:jc w:val="right"/>
              <w:rPr>
                <w:rFonts w:cstheme="minorHAnsi"/>
                <w:sz w:val="18"/>
                <w:szCs w:val="18"/>
              </w:rPr>
            </w:pPr>
            <w:r w:rsidRPr="002812B0">
              <w:rPr>
                <w:rFonts w:cstheme="minorHAnsi"/>
                <w:sz w:val="18"/>
                <w:szCs w:val="18"/>
              </w:rPr>
              <w:t>0.07</w:t>
            </w:r>
          </w:p>
        </w:tc>
        <w:tc>
          <w:tcPr>
            <w:tcW w:w="989" w:type="dxa"/>
            <w:gridSpan w:val="2"/>
            <w:tcBorders>
              <w:top w:val="nil"/>
              <w:left w:val="nil"/>
              <w:bottom w:val="nil"/>
              <w:right w:val="nil"/>
            </w:tcBorders>
            <w:shd w:val="clear" w:color="auto" w:fill="auto"/>
            <w:noWrap/>
            <w:vAlign w:val="center"/>
            <w:hideMark/>
          </w:tcPr>
          <w:p w14:paraId="0D882F8F" w14:textId="77777777" w:rsidR="004337E6" w:rsidRPr="002812B0" w:rsidRDefault="004337E6" w:rsidP="008975E4">
            <w:pPr>
              <w:jc w:val="right"/>
              <w:rPr>
                <w:rFonts w:cstheme="minorHAnsi"/>
                <w:sz w:val="18"/>
                <w:szCs w:val="18"/>
              </w:rPr>
            </w:pPr>
            <w:r w:rsidRPr="002812B0">
              <w:rPr>
                <w:rFonts w:cstheme="minorHAnsi"/>
                <w:sz w:val="18"/>
                <w:szCs w:val="18"/>
              </w:rPr>
              <w:t>72.71</w:t>
            </w:r>
          </w:p>
        </w:tc>
        <w:tc>
          <w:tcPr>
            <w:tcW w:w="894" w:type="dxa"/>
            <w:gridSpan w:val="2"/>
            <w:tcBorders>
              <w:top w:val="nil"/>
              <w:left w:val="nil"/>
              <w:bottom w:val="nil"/>
              <w:right w:val="nil"/>
            </w:tcBorders>
            <w:shd w:val="clear" w:color="auto" w:fill="auto"/>
            <w:noWrap/>
            <w:vAlign w:val="center"/>
            <w:hideMark/>
          </w:tcPr>
          <w:p w14:paraId="3C953673" w14:textId="77777777" w:rsidR="004337E6" w:rsidRPr="002812B0" w:rsidRDefault="004337E6" w:rsidP="008975E4">
            <w:pPr>
              <w:jc w:val="right"/>
              <w:rPr>
                <w:rFonts w:cstheme="minorHAnsi"/>
                <w:sz w:val="18"/>
                <w:szCs w:val="18"/>
              </w:rPr>
            </w:pPr>
            <w:r w:rsidRPr="002812B0">
              <w:rPr>
                <w:rFonts w:cstheme="minorHAnsi"/>
                <w:sz w:val="18"/>
                <w:szCs w:val="18"/>
              </w:rPr>
              <w:t>9.15</w:t>
            </w:r>
          </w:p>
        </w:tc>
        <w:tc>
          <w:tcPr>
            <w:tcW w:w="690" w:type="dxa"/>
            <w:gridSpan w:val="2"/>
            <w:tcBorders>
              <w:top w:val="nil"/>
              <w:left w:val="nil"/>
              <w:bottom w:val="nil"/>
              <w:right w:val="nil"/>
            </w:tcBorders>
            <w:shd w:val="clear" w:color="auto" w:fill="auto"/>
            <w:noWrap/>
            <w:vAlign w:val="center"/>
            <w:hideMark/>
          </w:tcPr>
          <w:p w14:paraId="4356A7C7" w14:textId="77777777" w:rsidR="004337E6" w:rsidRPr="002812B0" w:rsidRDefault="004337E6" w:rsidP="008975E4">
            <w:pPr>
              <w:jc w:val="right"/>
              <w:rPr>
                <w:rFonts w:cstheme="minorHAnsi"/>
                <w:b/>
                <w:bCs/>
                <w:sz w:val="18"/>
                <w:szCs w:val="18"/>
              </w:rPr>
            </w:pPr>
            <w:r w:rsidRPr="002812B0">
              <w:rPr>
                <w:rFonts w:cstheme="minorHAnsi"/>
                <w:b/>
                <w:bCs/>
                <w:sz w:val="18"/>
                <w:szCs w:val="18"/>
              </w:rPr>
              <w:t>81.86</w:t>
            </w:r>
          </w:p>
        </w:tc>
        <w:tc>
          <w:tcPr>
            <w:tcW w:w="974" w:type="dxa"/>
            <w:gridSpan w:val="2"/>
            <w:tcBorders>
              <w:top w:val="nil"/>
              <w:left w:val="nil"/>
              <w:bottom w:val="nil"/>
              <w:right w:val="nil"/>
            </w:tcBorders>
            <w:shd w:val="clear" w:color="auto" w:fill="auto"/>
            <w:noWrap/>
            <w:vAlign w:val="center"/>
            <w:hideMark/>
          </w:tcPr>
          <w:p w14:paraId="6E6F5A80" w14:textId="77777777" w:rsidR="004337E6" w:rsidRPr="002812B0" w:rsidRDefault="004337E6" w:rsidP="008975E4">
            <w:pPr>
              <w:jc w:val="right"/>
              <w:rPr>
                <w:rFonts w:cstheme="minorHAnsi"/>
                <w:sz w:val="18"/>
                <w:szCs w:val="18"/>
              </w:rPr>
            </w:pPr>
            <w:r w:rsidRPr="002812B0">
              <w:rPr>
                <w:rFonts w:cstheme="minorHAnsi"/>
                <w:sz w:val="18"/>
                <w:szCs w:val="18"/>
              </w:rPr>
              <w:t>8.20</w:t>
            </w:r>
          </w:p>
        </w:tc>
        <w:tc>
          <w:tcPr>
            <w:tcW w:w="894" w:type="dxa"/>
            <w:gridSpan w:val="2"/>
            <w:tcBorders>
              <w:top w:val="nil"/>
              <w:left w:val="nil"/>
              <w:bottom w:val="nil"/>
              <w:right w:val="nil"/>
            </w:tcBorders>
            <w:shd w:val="clear" w:color="auto" w:fill="auto"/>
            <w:noWrap/>
            <w:vAlign w:val="center"/>
            <w:hideMark/>
          </w:tcPr>
          <w:p w14:paraId="40EFDF34" w14:textId="77777777" w:rsidR="004337E6" w:rsidRPr="002812B0" w:rsidRDefault="004337E6" w:rsidP="008975E4">
            <w:pPr>
              <w:jc w:val="right"/>
              <w:rPr>
                <w:rFonts w:cstheme="minorHAnsi"/>
                <w:sz w:val="18"/>
                <w:szCs w:val="18"/>
              </w:rPr>
            </w:pPr>
            <w:r w:rsidRPr="002812B0">
              <w:rPr>
                <w:rFonts w:cstheme="minorHAnsi"/>
                <w:sz w:val="18"/>
                <w:szCs w:val="18"/>
              </w:rPr>
              <w:t>7.86</w:t>
            </w:r>
          </w:p>
        </w:tc>
        <w:tc>
          <w:tcPr>
            <w:tcW w:w="659" w:type="dxa"/>
            <w:gridSpan w:val="2"/>
            <w:tcBorders>
              <w:top w:val="nil"/>
              <w:left w:val="nil"/>
              <w:bottom w:val="nil"/>
              <w:right w:val="nil"/>
            </w:tcBorders>
            <w:shd w:val="clear" w:color="auto" w:fill="auto"/>
            <w:noWrap/>
            <w:vAlign w:val="center"/>
            <w:hideMark/>
          </w:tcPr>
          <w:p w14:paraId="4D52ADB9" w14:textId="77777777" w:rsidR="004337E6" w:rsidRPr="002812B0" w:rsidRDefault="004337E6" w:rsidP="008975E4">
            <w:pPr>
              <w:jc w:val="right"/>
              <w:rPr>
                <w:rFonts w:cstheme="minorHAnsi"/>
                <w:sz w:val="18"/>
                <w:szCs w:val="18"/>
              </w:rPr>
            </w:pPr>
            <w:r w:rsidRPr="002812B0">
              <w:rPr>
                <w:rFonts w:cstheme="minorHAnsi"/>
                <w:sz w:val="18"/>
                <w:szCs w:val="18"/>
              </w:rPr>
              <w:t>1.81</w:t>
            </w:r>
          </w:p>
        </w:tc>
        <w:tc>
          <w:tcPr>
            <w:tcW w:w="854" w:type="dxa"/>
            <w:tcBorders>
              <w:top w:val="nil"/>
              <w:left w:val="nil"/>
              <w:bottom w:val="nil"/>
              <w:right w:val="nil"/>
            </w:tcBorders>
            <w:shd w:val="clear" w:color="auto" w:fill="auto"/>
            <w:noWrap/>
            <w:vAlign w:val="center"/>
            <w:hideMark/>
          </w:tcPr>
          <w:p w14:paraId="77DF7842" w14:textId="77777777" w:rsidR="004337E6" w:rsidRPr="002812B0" w:rsidRDefault="004337E6" w:rsidP="008975E4">
            <w:pPr>
              <w:jc w:val="right"/>
              <w:rPr>
                <w:rFonts w:cstheme="minorHAnsi"/>
                <w:b/>
                <w:bCs/>
                <w:sz w:val="18"/>
                <w:szCs w:val="18"/>
              </w:rPr>
            </w:pPr>
            <w:r w:rsidRPr="002812B0">
              <w:rPr>
                <w:rFonts w:cstheme="minorHAnsi"/>
                <w:b/>
                <w:bCs/>
                <w:sz w:val="18"/>
                <w:szCs w:val="18"/>
              </w:rPr>
              <w:t>17.87</w:t>
            </w:r>
          </w:p>
        </w:tc>
        <w:tc>
          <w:tcPr>
            <w:tcW w:w="792" w:type="dxa"/>
            <w:tcBorders>
              <w:top w:val="nil"/>
              <w:left w:val="nil"/>
              <w:bottom w:val="nil"/>
              <w:right w:val="single" w:sz="4" w:space="0" w:color="auto"/>
            </w:tcBorders>
            <w:shd w:val="clear" w:color="auto" w:fill="auto"/>
            <w:noWrap/>
            <w:vAlign w:val="center"/>
            <w:hideMark/>
          </w:tcPr>
          <w:p w14:paraId="531564F3" w14:textId="77777777" w:rsidR="004337E6" w:rsidRPr="002812B0" w:rsidRDefault="004337E6" w:rsidP="008975E4">
            <w:pPr>
              <w:jc w:val="right"/>
              <w:rPr>
                <w:rFonts w:cstheme="minorHAnsi"/>
                <w:sz w:val="18"/>
                <w:szCs w:val="18"/>
              </w:rPr>
            </w:pPr>
            <w:r w:rsidRPr="002812B0">
              <w:rPr>
                <w:rFonts w:cstheme="minorHAnsi"/>
                <w:sz w:val="18"/>
                <w:szCs w:val="18"/>
              </w:rPr>
              <w:t>0.26</w:t>
            </w:r>
          </w:p>
        </w:tc>
      </w:tr>
      <w:tr w:rsidR="004337E6" w:rsidRPr="002812B0" w14:paraId="7747E771" w14:textId="77777777" w:rsidTr="008975E4">
        <w:trPr>
          <w:trHeight w:hRule="exact" w:val="284"/>
        </w:trPr>
        <w:tc>
          <w:tcPr>
            <w:tcW w:w="1452" w:type="dxa"/>
            <w:tcBorders>
              <w:top w:val="nil"/>
              <w:left w:val="single" w:sz="4" w:space="0" w:color="auto"/>
              <w:bottom w:val="nil"/>
              <w:right w:val="single" w:sz="4" w:space="0" w:color="auto"/>
            </w:tcBorders>
            <w:shd w:val="clear" w:color="auto" w:fill="auto"/>
            <w:noWrap/>
            <w:vAlign w:val="bottom"/>
            <w:hideMark/>
          </w:tcPr>
          <w:p w14:paraId="7171A8C1" w14:textId="77777777" w:rsidR="004337E6" w:rsidRPr="002812B0" w:rsidRDefault="004337E6" w:rsidP="008975E4">
            <w:pPr>
              <w:rPr>
                <w:rFonts w:cstheme="minorHAnsi"/>
                <w:sz w:val="18"/>
                <w:szCs w:val="18"/>
              </w:rPr>
            </w:pPr>
            <w:r w:rsidRPr="002812B0">
              <w:rPr>
                <w:rFonts w:cstheme="minorHAnsi"/>
                <w:sz w:val="18"/>
                <w:szCs w:val="18"/>
              </w:rPr>
              <w:t>Malta</w:t>
            </w:r>
          </w:p>
        </w:tc>
        <w:tc>
          <w:tcPr>
            <w:tcW w:w="425" w:type="dxa"/>
            <w:tcBorders>
              <w:top w:val="nil"/>
              <w:left w:val="nil"/>
              <w:bottom w:val="nil"/>
              <w:right w:val="nil"/>
            </w:tcBorders>
            <w:shd w:val="clear" w:color="auto" w:fill="auto"/>
            <w:noWrap/>
            <w:vAlign w:val="bottom"/>
            <w:hideMark/>
          </w:tcPr>
          <w:p w14:paraId="3063E388" w14:textId="77777777" w:rsidR="004337E6" w:rsidRPr="002812B0" w:rsidRDefault="004337E6" w:rsidP="008975E4">
            <w:pPr>
              <w:ind w:right="-111"/>
              <w:jc w:val="left"/>
              <w:rPr>
                <w:rFonts w:cstheme="minorHAnsi"/>
                <w:sz w:val="18"/>
                <w:szCs w:val="18"/>
              </w:rPr>
            </w:pPr>
            <w:r w:rsidRPr="002812B0">
              <w:rPr>
                <w:rFonts w:cstheme="minorHAnsi"/>
                <w:sz w:val="18"/>
                <w:szCs w:val="18"/>
              </w:rPr>
              <w:t>MT</w:t>
            </w:r>
          </w:p>
        </w:tc>
        <w:tc>
          <w:tcPr>
            <w:tcW w:w="992" w:type="dxa"/>
            <w:gridSpan w:val="2"/>
            <w:tcBorders>
              <w:top w:val="nil"/>
              <w:left w:val="single" w:sz="4" w:space="0" w:color="auto"/>
              <w:bottom w:val="nil"/>
              <w:right w:val="nil"/>
            </w:tcBorders>
            <w:shd w:val="clear" w:color="auto" w:fill="auto"/>
            <w:noWrap/>
            <w:vAlign w:val="bottom"/>
            <w:hideMark/>
          </w:tcPr>
          <w:p w14:paraId="031CB625" w14:textId="77777777" w:rsidR="004337E6" w:rsidRPr="002812B0" w:rsidRDefault="004337E6" w:rsidP="008975E4">
            <w:pPr>
              <w:jc w:val="right"/>
              <w:rPr>
                <w:rFonts w:cstheme="minorHAnsi"/>
                <w:sz w:val="18"/>
                <w:szCs w:val="18"/>
              </w:rPr>
            </w:pPr>
            <w:r w:rsidRPr="002812B0">
              <w:rPr>
                <w:rFonts w:cstheme="minorHAnsi"/>
                <w:sz w:val="18"/>
                <w:szCs w:val="18"/>
              </w:rPr>
              <w:t>79.56</w:t>
            </w:r>
          </w:p>
        </w:tc>
        <w:tc>
          <w:tcPr>
            <w:tcW w:w="992" w:type="dxa"/>
            <w:gridSpan w:val="2"/>
            <w:tcBorders>
              <w:top w:val="nil"/>
              <w:left w:val="nil"/>
              <w:bottom w:val="nil"/>
              <w:right w:val="nil"/>
            </w:tcBorders>
            <w:shd w:val="clear" w:color="auto" w:fill="auto"/>
            <w:noWrap/>
            <w:vAlign w:val="bottom"/>
            <w:hideMark/>
          </w:tcPr>
          <w:p w14:paraId="7F8465D4" w14:textId="77777777" w:rsidR="004337E6" w:rsidRPr="002812B0" w:rsidRDefault="004337E6" w:rsidP="008975E4">
            <w:pPr>
              <w:jc w:val="right"/>
              <w:rPr>
                <w:rFonts w:cstheme="minorHAnsi"/>
                <w:sz w:val="18"/>
                <w:szCs w:val="18"/>
              </w:rPr>
            </w:pPr>
            <w:r w:rsidRPr="002812B0">
              <w:rPr>
                <w:rFonts w:cstheme="minorHAnsi"/>
                <w:sz w:val="18"/>
                <w:szCs w:val="18"/>
              </w:rPr>
              <w:t>5.66</w:t>
            </w:r>
          </w:p>
        </w:tc>
        <w:tc>
          <w:tcPr>
            <w:tcW w:w="851" w:type="dxa"/>
            <w:gridSpan w:val="2"/>
            <w:tcBorders>
              <w:top w:val="nil"/>
              <w:left w:val="nil"/>
              <w:bottom w:val="nil"/>
              <w:right w:val="nil"/>
            </w:tcBorders>
            <w:shd w:val="clear" w:color="auto" w:fill="auto"/>
            <w:noWrap/>
            <w:vAlign w:val="bottom"/>
            <w:hideMark/>
          </w:tcPr>
          <w:p w14:paraId="154385A9" w14:textId="77777777" w:rsidR="004337E6" w:rsidRPr="002812B0" w:rsidRDefault="004337E6" w:rsidP="008975E4">
            <w:pPr>
              <w:jc w:val="right"/>
              <w:rPr>
                <w:rFonts w:cstheme="minorHAnsi"/>
                <w:b/>
                <w:bCs/>
                <w:sz w:val="18"/>
                <w:szCs w:val="18"/>
              </w:rPr>
            </w:pPr>
            <w:r w:rsidRPr="002812B0">
              <w:rPr>
                <w:rFonts w:cstheme="minorHAnsi"/>
                <w:b/>
                <w:bCs/>
                <w:sz w:val="18"/>
                <w:szCs w:val="18"/>
              </w:rPr>
              <w:t>85.22</w:t>
            </w:r>
          </w:p>
        </w:tc>
        <w:tc>
          <w:tcPr>
            <w:tcW w:w="709" w:type="dxa"/>
            <w:gridSpan w:val="2"/>
            <w:tcBorders>
              <w:top w:val="nil"/>
              <w:left w:val="nil"/>
              <w:bottom w:val="nil"/>
              <w:right w:val="nil"/>
            </w:tcBorders>
            <w:shd w:val="clear" w:color="auto" w:fill="auto"/>
            <w:noWrap/>
            <w:vAlign w:val="bottom"/>
            <w:hideMark/>
          </w:tcPr>
          <w:p w14:paraId="5A6B5060" w14:textId="77777777" w:rsidR="004337E6" w:rsidRPr="002812B0" w:rsidRDefault="004337E6" w:rsidP="008975E4">
            <w:pPr>
              <w:jc w:val="right"/>
              <w:rPr>
                <w:rFonts w:cstheme="minorHAnsi"/>
                <w:sz w:val="18"/>
                <w:szCs w:val="18"/>
              </w:rPr>
            </w:pPr>
            <w:r w:rsidRPr="002812B0">
              <w:rPr>
                <w:rFonts w:cstheme="minorHAnsi"/>
                <w:sz w:val="18"/>
                <w:szCs w:val="18"/>
              </w:rPr>
              <w:t>8.21</w:t>
            </w:r>
          </w:p>
        </w:tc>
        <w:tc>
          <w:tcPr>
            <w:tcW w:w="817" w:type="dxa"/>
            <w:gridSpan w:val="2"/>
            <w:tcBorders>
              <w:top w:val="nil"/>
              <w:left w:val="nil"/>
              <w:bottom w:val="nil"/>
              <w:right w:val="nil"/>
            </w:tcBorders>
            <w:shd w:val="clear" w:color="auto" w:fill="auto"/>
            <w:noWrap/>
            <w:vAlign w:val="bottom"/>
            <w:hideMark/>
          </w:tcPr>
          <w:p w14:paraId="61F7649D" w14:textId="77777777" w:rsidR="004337E6" w:rsidRPr="002812B0" w:rsidRDefault="004337E6" w:rsidP="008975E4">
            <w:pPr>
              <w:jc w:val="right"/>
              <w:rPr>
                <w:rFonts w:cstheme="minorHAnsi"/>
                <w:sz w:val="18"/>
                <w:szCs w:val="18"/>
              </w:rPr>
            </w:pPr>
            <w:r w:rsidRPr="002812B0">
              <w:rPr>
                <w:rFonts w:cstheme="minorHAnsi"/>
                <w:sz w:val="18"/>
                <w:szCs w:val="18"/>
              </w:rPr>
              <w:t>3.10</w:t>
            </w:r>
          </w:p>
        </w:tc>
        <w:tc>
          <w:tcPr>
            <w:tcW w:w="659" w:type="dxa"/>
            <w:tcBorders>
              <w:top w:val="nil"/>
              <w:left w:val="nil"/>
              <w:bottom w:val="nil"/>
              <w:right w:val="nil"/>
            </w:tcBorders>
            <w:shd w:val="clear" w:color="auto" w:fill="auto"/>
            <w:noWrap/>
            <w:vAlign w:val="bottom"/>
            <w:hideMark/>
          </w:tcPr>
          <w:p w14:paraId="6ADBD0E5" w14:textId="77777777" w:rsidR="004337E6" w:rsidRPr="002812B0" w:rsidRDefault="004337E6" w:rsidP="008975E4">
            <w:pPr>
              <w:jc w:val="right"/>
              <w:rPr>
                <w:rFonts w:cstheme="minorHAnsi"/>
                <w:sz w:val="18"/>
                <w:szCs w:val="18"/>
              </w:rPr>
            </w:pPr>
            <w:r w:rsidRPr="002812B0">
              <w:rPr>
                <w:rFonts w:cstheme="minorHAnsi"/>
                <w:sz w:val="18"/>
                <w:szCs w:val="18"/>
              </w:rPr>
              <w:t>3.10</w:t>
            </w:r>
          </w:p>
        </w:tc>
        <w:tc>
          <w:tcPr>
            <w:tcW w:w="933" w:type="dxa"/>
            <w:gridSpan w:val="2"/>
            <w:tcBorders>
              <w:top w:val="nil"/>
              <w:left w:val="nil"/>
              <w:bottom w:val="nil"/>
              <w:right w:val="nil"/>
            </w:tcBorders>
            <w:shd w:val="clear" w:color="auto" w:fill="auto"/>
            <w:noWrap/>
            <w:vAlign w:val="bottom"/>
            <w:hideMark/>
          </w:tcPr>
          <w:p w14:paraId="0DE9D6AF" w14:textId="77777777" w:rsidR="004337E6" w:rsidRPr="002812B0" w:rsidRDefault="004337E6" w:rsidP="008975E4">
            <w:pPr>
              <w:jc w:val="right"/>
              <w:rPr>
                <w:rFonts w:cstheme="minorHAnsi"/>
                <w:b/>
                <w:bCs/>
                <w:sz w:val="18"/>
                <w:szCs w:val="18"/>
              </w:rPr>
            </w:pPr>
            <w:r w:rsidRPr="002812B0">
              <w:rPr>
                <w:rFonts w:cstheme="minorHAnsi"/>
                <w:b/>
                <w:bCs/>
                <w:sz w:val="18"/>
                <w:szCs w:val="18"/>
              </w:rPr>
              <w:t>14.41</w:t>
            </w:r>
          </w:p>
        </w:tc>
        <w:tc>
          <w:tcPr>
            <w:tcW w:w="709" w:type="dxa"/>
            <w:tcBorders>
              <w:top w:val="nil"/>
              <w:left w:val="nil"/>
              <w:bottom w:val="nil"/>
              <w:right w:val="single" w:sz="4" w:space="0" w:color="auto"/>
            </w:tcBorders>
            <w:shd w:val="clear" w:color="auto" w:fill="auto"/>
            <w:noWrap/>
            <w:vAlign w:val="bottom"/>
            <w:hideMark/>
          </w:tcPr>
          <w:p w14:paraId="5EDDA3DB" w14:textId="77777777" w:rsidR="004337E6" w:rsidRPr="002812B0" w:rsidRDefault="004337E6" w:rsidP="008975E4">
            <w:pPr>
              <w:jc w:val="right"/>
              <w:rPr>
                <w:rFonts w:cstheme="minorHAnsi"/>
                <w:sz w:val="18"/>
                <w:szCs w:val="18"/>
              </w:rPr>
            </w:pPr>
            <w:r w:rsidRPr="002812B0">
              <w:rPr>
                <w:rFonts w:cstheme="minorHAnsi"/>
                <w:sz w:val="18"/>
                <w:szCs w:val="18"/>
              </w:rPr>
              <w:t>0.36</w:t>
            </w:r>
          </w:p>
        </w:tc>
        <w:tc>
          <w:tcPr>
            <w:tcW w:w="989" w:type="dxa"/>
            <w:gridSpan w:val="2"/>
            <w:tcBorders>
              <w:top w:val="nil"/>
              <w:left w:val="nil"/>
              <w:bottom w:val="nil"/>
              <w:right w:val="nil"/>
            </w:tcBorders>
            <w:shd w:val="clear" w:color="auto" w:fill="auto"/>
            <w:noWrap/>
            <w:vAlign w:val="center"/>
            <w:hideMark/>
          </w:tcPr>
          <w:p w14:paraId="77E3EFCF" w14:textId="77777777" w:rsidR="004337E6" w:rsidRPr="002812B0" w:rsidRDefault="004337E6" w:rsidP="008975E4">
            <w:pPr>
              <w:jc w:val="right"/>
              <w:rPr>
                <w:rFonts w:cstheme="minorHAnsi"/>
                <w:sz w:val="18"/>
                <w:szCs w:val="18"/>
              </w:rPr>
            </w:pPr>
            <w:r w:rsidRPr="002812B0">
              <w:rPr>
                <w:rFonts w:cstheme="minorHAnsi"/>
                <w:sz w:val="18"/>
                <w:szCs w:val="18"/>
              </w:rPr>
              <w:t>74.03</w:t>
            </w:r>
          </w:p>
        </w:tc>
        <w:tc>
          <w:tcPr>
            <w:tcW w:w="894" w:type="dxa"/>
            <w:gridSpan w:val="2"/>
            <w:tcBorders>
              <w:top w:val="nil"/>
              <w:left w:val="nil"/>
              <w:bottom w:val="nil"/>
              <w:right w:val="nil"/>
            </w:tcBorders>
            <w:shd w:val="clear" w:color="auto" w:fill="auto"/>
            <w:noWrap/>
            <w:vAlign w:val="center"/>
            <w:hideMark/>
          </w:tcPr>
          <w:p w14:paraId="7E73BD93" w14:textId="77777777" w:rsidR="004337E6" w:rsidRPr="002812B0" w:rsidRDefault="004337E6" w:rsidP="008975E4">
            <w:pPr>
              <w:jc w:val="right"/>
              <w:rPr>
                <w:rFonts w:cstheme="minorHAnsi"/>
                <w:sz w:val="18"/>
                <w:szCs w:val="18"/>
              </w:rPr>
            </w:pPr>
            <w:r w:rsidRPr="002812B0">
              <w:rPr>
                <w:rFonts w:cstheme="minorHAnsi"/>
                <w:sz w:val="18"/>
                <w:szCs w:val="18"/>
              </w:rPr>
              <w:t>7.07</w:t>
            </w:r>
          </w:p>
        </w:tc>
        <w:tc>
          <w:tcPr>
            <w:tcW w:w="690" w:type="dxa"/>
            <w:gridSpan w:val="2"/>
            <w:tcBorders>
              <w:top w:val="nil"/>
              <w:left w:val="nil"/>
              <w:bottom w:val="nil"/>
              <w:right w:val="nil"/>
            </w:tcBorders>
            <w:shd w:val="clear" w:color="auto" w:fill="auto"/>
            <w:noWrap/>
            <w:vAlign w:val="center"/>
            <w:hideMark/>
          </w:tcPr>
          <w:p w14:paraId="393CA777" w14:textId="77777777" w:rsidR="004337E6" w:rsidRPr="002812B0" w:rsidRDefault="004337E6" w:rsidP="008975E4">
            <w:pPr>
              <w:jc w:val="right"/>
              <w:rPr>
                <w:rFonts w:cstheme="minorHAnsi"/>
                <w:b/>
                <w:bCs/>
                <w:sz w:val="18"/>
                <w:szCs w:val="18"/>
              </w:rPr>
            </w:pPr>
            <w:r w:rsidRPr="002812B0">
              <w:rPr>
                <w:rFonts w:cstheme="minorHAnsi"/>
                <w:b/>
                <w:bCs/>
                <w:sz w:val="18"/>
                <w:szCs w:val="18"/>
              </w:rPr>
              <w:t>81.10</w:t>
            </w:r>
          </w:p>
        </w:tc>
        <w:tc>
          <w:tcPr>
            <w:tcW w:w="974" w:type="dxa"/>
            <w:gridSpan w:val="2"/>
            <w:tcBorders>
              <w:top w:val="nil"/>
              <w:left w:val="nil"/>
              <w:bottom w:val="nil"/>
              <w:right w:val="nil"/>
            </w:tcBorders>
            <w:shd w:val="clear" w:color="auto" w:fill="auto"/>
            <w:noWrap/>
            <w:vAlign w:val="center"/>
            <w:hideMark/>
          </w:tcPr>
          <w:p w14:paraId="66F14BD5" w14:textId="77777777" w:rsidR="004337E6" w:rsidRPr="002812B0" w:rsidRDefault="004337E6" w:rsidP="008975E4">
            <w:pPr>
              <w:jc w:val="right"/>
              <w:rPr>
                <w:rFonts w:cstheme="minorHAnsi"/>
                <w:sz w:val="18"/>
                <w:szCs w:val="18"/>
              </w:rPr>
            </w:pPr>
            <w:r w:rsidRPr="002812B0">
              <w:rPr>
                <w:rFonts w:cstheme="minorHAnsi"/>
                <w:sz w:val="18"/>
                <w:szCs w:val="18"/>
              </w:rPr>
              <w:t>10.86</w:t>
            </w:r>
          </w:p>
        </w:tc>
        <w:tc>
          <w:tcPr>
            <w:tcW w:w="894" w:type="dxa"/>
            <w:gridSpan w:val="2"/>
            <w:tcBorders>
              <w:top w:val="nil"/>
              <w:left w:val="nil"/>
              <w:bottom w:val="nil"/>
              <w:right w:val="nil"/>
            </w:tcBorders>
            <w:shd w:val="clear" w:color="auto" w:fill="auto"/>
            <w:noWrap/>
            <w:vAlign w:val="center"/>
            <w:hideMark/>
          </w:tcPr>
          <w:p w14:paraId="51F70EC8" w14:textId="77777777" w:rsidR="004337E6" w:rsidRPr="002812B0" w:rsidRDefault="004337E6" w:rsidP="008975E4">
            <w:pPr>
              <w:jc w:val="right"/>
              <w:rPr>
                <w:rFonts w:cstheme="minorHAnsi"/>
                <w:sz w:val="18"/>
                <w:szCs w:val="18"/>
              </w:rPr>
            </w:pPr>
            <w:r w:rsidRPr="002812B0">
              <w:rPr>
                <w:rFonts w:cstheme="minorHAnsi"/>
                <w:sz w:val="18"/>
                <w:szCs w:val="18"/>
              </w:rPr>
              <w:t>6.10</w:t>
            </w:r>
          </w:p>
        </w:tc>
        <w:tc>
          <w:tcPr>
            <w:tcW w:w="659" w:type="dxa"/>
            <w:gridSpan w:val="2"/>
            <w:tcBorders>
              <w:top w:val="nil"/>
              <w:left w:val="nil"/>
              <w:bottom w:val="nil"/>
              <w:right w:val="nil"/>
            </w:tcBorders>
            <w:shd w:val="clear" w:color="auto" w:fill="auto"/>
            <w:noWrap/>
            <w:vAlign w:val="center"/>
            <w:hideMark/>
          </w:tcPr>
          <w:p w14:paraId="0DFEF7C9" w14:textId="77777777" w:rsidR="004337E6" w:rsidRPr="002812B0" w:rsidRDefault="004337E6" w:rsidP="008975E4">
            <w:pPr>
              <w:jc w:val="right"/>
              <w:rPr>
                <w:rFonts w:cstheme="minorHAnsi"/>
                <w:sz w:val="18"/>
                <w:szCs w:val="18"/>
              </w:rPr>
            </w:pPr>
            <w:r w:rsidRPr="002812B0">
              <w:rPr>
                <w:rFonts w:cstheme="minorHAnsi"/>
                <w:sz w:val="18"/>
                <w:szCs w:val="18"/>
              </w:rPr>
              <w:t>1.49</w:t>
            </w:r>
          </w:p>
        </w:tc>
        <w:tc>
          <w:tcPr>
            <w:tcW w:w="854" w:type="dxa"/>
            <w:tcBorders>
              <w:top w:val="nil"/>
              <w:left w:val="nil"/>
              <w:bottom w:val="nil"/>
              <w:right w:val="nil"/>
            </w:tcBorders>
            <w:shd w:val="clear" w:color="auto" w:fill="auto"/>
            <w:noWrap/>
            <w:vAlign w:val="center"/>
            <w:hideMark/>
          </w:tcPr>
          <w:p w14:paraId="0974876E" w14:textId="77777777" w:rsidR="004337E6" w:rsidRPr="002812B0" w:rsidRDefault="004337E6" w:rsidP="008975E4">
            <w:pPr>
              <w:jc w:val="right"/>
              <w:rPr>
                <w:rFonts w:cstheme="minorHAnsi"/>
                <w:b/>
                <w:bCs/>
                <w:sz w:val="18"/>
                <w:szCs w:val="18"/>
              </w:rPr>
            </w:pPr>
            <w:r w:rsidRPr="002812B0">
              <w:rPr>
                <w:rFonts w:cstheme="minorHAnsi"/>
                <w:b/>
                <w:bCs/>
                <w:sz w:val="18"/>
                <w:szCs w:val="18"/>
              </w:rPr>
              <w:t>18.45</w:t>
            </w:r>
          </w:p>
        </w:tc>
        <w:tc>
          <w:tcPr>
            <w:tcW w:w="792" w:type="dxa"/>
            <w:tcBorders>
              <w:top w:val="nil"/>
              <w:left w:val="nil"/>
              <w:bottom w:val="nil"/>
              <w:right w:val="single" w:sz="4" w:space="0" w:color="auto"/>
            </w:tcBorders>
            <w:shd w:val="clear" w:color="auto" w:fill="auto"/>
            <w:noWrap/>
            <w:vAlign w:val="center"/>
            <w:hideMark/>
          </w:tcPr>
          <w:p w14:paraId="567C3D48" w14:textId="77777777" w:rsidR="004337E6" w:rsidRPr="002812B0" w:rsidRDefault="004337E6" w:rsidP="008975E4">
            <w:pPr>
              <w:jc w:val="right"/>
              <w:rPr>
                <w:rFonts w:cstheme="minorHAnsi"/>
                <w:sz w:val="18"/>
                <w:szCs w:val="18"/>
              </w:rPr>
            </w:pPr>
            <w:r w:rsidRPr="002812B0">
              <w:rPr>
                <w:rFonts w:cstheme="minorHAnsi"/>
                <w:sz w:val="18"/>
                <w:szCs w:val="18"/>
              </w:rPr>
              <w:t>0.45</w:t>
            </w:r>
          </w:p>
        </w:tc>
      </w:tr>
      <w:tr w:rsidR="004337E6" w:rsidRPr="002812B0" w14:paraId="0CE2BF84" w14:textId="77777777" w:rsidTr="008975E4">
        <w:trPr>
          <w:trHeight w:hRule="exact" w:val="284"/>
        </w:trPr>
        <w:tc>
          <w:tcPr>
            <w:tcW w:w="1452" w:type="dxa"/>
            <w:tcBorders>
              <w:top w:val="nil"/>
              <w:left w:val="single" w:sz="4" w:space="0" w:color="auto"/>
              <w:bottom w:val="nil"/>
              <w:right w:val="single" w:sz="4" w:space="0" w:color="auto"/>
            </w:tcBorders>
            <w:shd w:val="clear" w:color="auto" w:fill="auto"/>
            <w:noWrap/>
            <w:vAlign w:val="bottom"/>
            <w:hideMark/>
          </w:tcPr>
          <w:p w14:paraId="1C86D6A9" w14:textId="77777777" w:rsidR="004337E6" w:rsidRPr="002812B0" w:rsidRDefault="004337E6" w:rsidP="008975E4">
            <w:pPr>
              <w:rPr>
                <w:rFonts w:cstheme="minorHAnsi"/>
                <w:sz w:val="18"/>
                <w:szCs w:val="18"/>
              </w:rPr>
            </w:pPr>
            <w:r w:rsidRPr="002812B0">
              <w:rPr>
                <w:rFonts w:cstheme="minorHAnsi"/>
                <w:sz w:val="18"/>
                <w:szCs w:val="18"/>
              </w:rPr>
              <w:t>Slovenia</w:t>
            </w:r>
          </w:p>
        </w:tc>
        <w:tc>
          <w:tcPr>
            <w:tcW w:w="425" w:type="dxa"/>
            <w:tcBorders>
              <w:top w:val="nil"/>
              <w:left w:val="nil"/>
              <w:bottom w:val="nil"/>
              <w:right w:val="nil"/>
            </w:tcBorders>
            <w:shd w:val="clear" w:color="auto" w:fill="auto"/>
            <w:noWrap/>
            <w:vAlign w:val="bottom"/>
            <w:hideMark/>
          </w:tcPr>
          <w:p w14:paraId="7BE5C790" w14:textId="77777777" w:rsidR="004337E6" w:rsidRPr="002812B0" w:rsidRDefault="004337E6" w:rsidP="008975E4">
            <w:pPr>
              <w:ind w:right="-111"/>
              <w:jc w:val="left"/>
              <w:rPr>
                <w:rFonts w:cstheme="minorHAnsi"/>
                <w:sz w:val="18"/>
                <w:szCs w:val="18"/>
              </w:rPr>
            </w:pPr>
            <w:r w:rsidRPr="002812B0">
              <w:rPr>
                <w:rFonts w:cstheme="minorHAnsi"/>
                <w:sz w:val="18"/>
                <w:szCs w:val="18"/>
              </w:rPr>
              <w:t>SI</w:t>
            </w:r>
          </w:p>
        </w:tc>
        <w:tc>
          <w:tcPr>
            <w:tcW w:w="992" w:type="dxa"/>
            <w:gridSpan w:val="2"/>
            <w:tcBorders>
              <w:top w:val="nil"/>
              <w:left w:val="single" w:sz="4" w:space="0" w:color="auto"/>
              <w:bottom w:val="nil"/>
              <w:right w:val="nil"/>
            </w:tcBorders>
            <w:shd w:val="clear" w:color="auto" w:fill="auto"/>
            <w:noWrap/>
            <w:vAlign w:val="bottom"/>
            <w:hideMark/>
          </w:tcPr>
          <w:p w14:paraId="3925EC07" w14:textId="77777777" w:rsidR="004337E6" w:rsidRPr="002812B0" w:rsidRDefault="004337E6" w:rsidP="008975E4">
            <w:pPr>
              <w:jc w:val="right"/>
              <w:rPr>
                <w:rFonts w:cstheme="minorHAnsi"/>
                <w:sz w:val="18"/>
                <w:szCs w:val="18"/>
              </w:rPr>
            </w:pPr>
            <w:r w:rsidRPr="002812B0">
              <w:rPr>
                <w:rFonts w:cstheme="minorHAnsi"/>
                <w:sz w:val="18"/>
                <w:szCs w:val="18"/>
              </w:rPr>
              <w:t>76.41</w:t>
            </w:r>
          </w:p>
        </w:tc>
        <w:tc>
          <w:tcPr>
            <w:tcW w:w="992" w:type="dxa"/>
            <w:gridSpan w:val="2"/>
            <w:tcBorders>
              <w:top w:val="nil"/>
              <w:left w:val="nil"/>
              <w:bottom w:val="nil"/>
              <w:right w:val="nil"/>
            </w:tcBorders>
            <w:shd w:val="clear" w:color="auto" w:fill="auto"/>
            <w:noWrap/>
            <w:vAlign w:val="bottom"/>
            <w:hideMark/>
          </w:tcPr>
          <w:p w14:paraId="7EDCA706" w14:textId="77777777" w:rsidR="004337E6" w:rsidRPr="002812B0" w:rsidRDefault="004337E6" w:rsidP="008975E4">
            <w:pPr>
              <w:jc w:val="right"/>
              <w:rPr>
                <w:rFonts w:cstheme="minorHAnsi"/>
                <w:sz w:val="18"/>
                <w:szCs w:val="18"/>
              </w:rPr>
            </w:pPr>
            <w:r w:rsidRPr="002812B0">
              <w:rPr>
                <w:rFonts w:cstheme="minorHAnsi"/>
                <w:sz w:val="18"/>
                <w:szCs w:val="18"/>
              </w:rPr>
              <w:t>10.34</w:t>
            </w:r>
          </w:p>
        </w:tc>
        <w:tc>
          <w:tcPr>
            <w:tcW w:w="851" w:type="dxa"/>
            <w:gridSpan w:val="2"/>
            <w:tcBorders>
              <w:top w:val="nil"/>
              <w:left w:val="nil"/>
              <w:bottom w:val="nil"/>
              <w:right w:val="nil"/>
            </w:tcBorders>
            <w:shd w:val="clear" w:color="auto" w:fill="auto"/>
            <w:noWrap/>
            <w:vAlign w:val="bottom"/>
            <w:hideMark/>
          </w:tcPr>
          <w:p w14:paraId="72009341" w14:textId="77777777" w:rsidR="004337E6" w:rsidRPr="002812B0" w:rsidRDefault="004337E6" w:rsidP="008975E4">
            <w:pPr>
              <w:jc w:val="right"/>
              <w:rPr>
                <w:rFonts w:cstheme="minorHAnsi"/>
                <w:b/>
                <w:bCs/>
                <w:sz w:val="18"/>
                <w:szCs w:val="18"/>
              </w:rPr>
            </w:pPr>
            <w:r w:rsidRPr="002812B0">
              <w:rPr>
                <w:rFonts w:cstheme="minorHAnsi"/>
                <w:b/>
                <w:bCs/>
                <w:sz w:val="18"/>
                <w:szCs w:val="18"/>
              </w:rPr>
              <w:t>86.75</w:t>
            </w:r>
          </w:p>
        </w:tc>
        <w:tc>
          <w:tcPr>
            <w:tcW w:w="709" w:type="dxa"/>
            <w:gridSpan w:val="2"/>
            <w:tcBorders>
              <w:top w:val="nil"/>
              <w:left w:val="nil"/>
              <w:bottom w:val="nil"/>
              <w:right w:val="nil"/>
            </w:tcBorders>
            <w:shd w:val="clear" w:color="auto" w:fill="auto"/>
            <w:noWrap/>
            <w:vAlign w:val="bottom"/>
            <w:hideMark/>
          </w:tcPr>
          <w:p w14:paraId="1B1E0B0B" w14:textId="77777777" w:rsidR="004337E6" w:rsidRPr="002812B0" w:rsidRDefault="004337E6" w:rsidP="008975E4">
            <w:pPr>
              <w:jc w:val="right"/>
              <w:rPr>
                <w:rFonts w:cstheme="minorHAnsi"/>
                <w:sz w:val="18"/>
                <w:szCs w:val="18"/>
              </w:rPr>
            </w:pPr>
            <w:r w:rsidRPr="002812B0">
              <w:rPr>
                <w:rFonts w:cstheme="minorHAnsi"/>
                <w:sz w:val="18"/>
                <w:szCs w:val="18"/>
              </w:rPr>
              <w:t>1.75</w:t>
            </w:r>
          </w:p>
        </w:tc>
        <w:tc>
          <w:tcPr>
            <w:tcW w:w="817" w:type="dxa"/>
            <w:gridSpan w:val="2"/>
            <w:tcBorders>
              <w:top w:val="nil"/>
              <w:left w:val="nil"/>
              <w:bottom w:val="nil"/>
              <w:right w:val="nil"/>
            </w:tcBorders>
            <w:shd w:val="clear" w:color="auto" w:fill="auto"/>
            <w:noWrap/>
            <w:vAlign w:val="bottom"/>
            <w:hideMark/>
          </w:tcPr>
          <w:p w14:paraId="6A9A6429" w14:textId="77777777" w:rsidR="004337E6" w:rsidRPr="002812B0" w:rsidRDefault="004337E6" w:rsidP="008975E4">
            <w:pPr>
              <w:jc w:val="right"/>
              <w:rPr>
                <w:rFonts w:cstheme="minorHAnsi"/>
                <w:sz w:val="18"/>
                <w:szCs w:val="18"/>
              </w:rPr>
            </w:pPr>
            <w:r w:rsidRPr="002812B0">
              <w:rPr>
                <w:rFonts w:cstheme="minorHAnsi"/>
                <w:sz w:val="18"/>
                <w:szCs w:val="18"/>
              </w:rPr>
              <w:t>6.46</w:t>
            </w:r>
          </w:p>
        </w:tc>
        <w:tc>
          <w:tcPr>
            <w:tcW w:w="659" w:type="dxa"/>
            <w:tcBorders>
              <w:top w:val="nil"/>
              <w:left w:val="nil"/>
              <w:bottom w:val="nil"/>
              <w:right w:val="nil"/>
            </w:tcBorders>
            <w:shd w:val="clear" w:color="auto" w:fill="auto"/>
            <w:noWrap/>
            <w:vAlign w:val="bottom"/>
            <w:hideMark/>
          </w:tcPr>
          <w:p w14:paraId="40015774" w14:textId="77777777" w:rsidR="004337E6" w:rsidRPr="002812B0" w:rsidRDefault="004337E6" w:rsidP="008975E4">
            <w:pPr>
              <w:jc w:val="right"/>
              <w:rPr>
                <w:rFonts w:cstheme="minorHAnsi"/>
                <w:sz w:val="18"/>
                <w:szCs w:val="18"/>
              </w:rPr>
            </w:pPr>
            <w:r w:rsidRPr="002812B0">
              <w:rPr>
                <w:rFonts w:cstheme="minorHAnsi"/>
                <w:sz w:val="18"/>
                <w:szCs w:val="18"/>
              </w:rPr>
              <w:t>4.42</w:t>
            </w:r>
          </w:p>
        </w:tc>
        <w:tc>
          <w:tcPr>
            <w:tcW w:w="933" w:type="dxa"/>
            <w:gridSpan w:val="2"/>
            <w:tcBorders>
              <w:top w:val="nil"/>
              <w:left w:val="nil"/>
              <w:bottom w:val="nil"/>
              <w:right w:val="nil"/>
            </w:tcBorders>
            <w:shd w:val="clear" w:color="auto" w:fill="auto"/>
            <w:noWrap/>
            <w:vAlign w:val="bottom"/>
            <w:hideMark/>
          </w:tcPr>
          <w:p w14:paraId="0E84DFD3" w14:textId="77777777" w:rsidR="004337E6" w:rsidRPr="002812B0" w:rsidRDefault="004337E6" w:rsidP="008975E4">
            <w:pPr>
              <w:jc w:val="right"/>
              <w:rPr>
                <w:rFonts w:cstheme="minorHAnsi"/>
                <w:b/>
                <w:bCs/>
                <w:sz w:val="18"/>
                <w:szCs w:val="18"/>
              </w:rPr>
            </w:pPr>
            <w:r w:rsidRPr="002812B0">
              <w:rPr>
                <w:rFonts w:cstheme="minorHAnsi"/>
                <w:b/>
                <w:bCs/>
                <w:sz w:val="18"/>
                <w:szCs w:val="18"/>
              </w:rPr>
              <w:t>12.63</w:t>
            </w:r>
          </w:p>
        </w:tc>
        <w:tc>
          <w:tcPr>
            <w:tcW w:w="709" w:type="dxa"/>
            <w:tcBorders>
              <w:top w:val="nil"/>
              <w:left w:val="nil"/>
              <w:bottom w:val="nil"/>
              <w:right w:val="single" w:sz="4" w:space="0" w:color="auto"/>
            </w:tcBorders>
            <w:shd w:val="clear" w:color="auto" w:fill="auto"/>
            <w:noWrap/>
            <w:vAlign w:val="bottom"/>
            <w:hideMark/>
          </w:tcPr>
          <w:p w14:paraId="1A8B5D99" w14:textId="77777777" w:rsidR="004337E6" w:rsidRPr="002812B0" w:rsidRDefault="004337E6" w:rsidP="008975E4">
            <w:pPr>
              <w:jc w:val="right"/>
              <w:rPr>
                <w:rFonts w:cstheme="minorHAnsi"/>
                <w:sz w:val="18"/>
                <w:szCs w:val="18"/>
              </w:rPr>
            </w:pPr>
            <w:r w:rsidRPr="002812B0">
              <w:rPr>
                <w:rFonts w:cstheme="minorHAnsi"/>
                <w:sz w:val="18"/>
                <w:szCs w:val="18"/>
              </w:rPr>
              <w:t>0.63</w:t>
            </w:r>
          </w:p>
        </w:tc>
        <w:tc>
          <w:tcPr>
            <w:tcW w:w="989" w:type="dxa"/>
            <w:gridSpan w:val="2"/>
            <w:tcBorders>
              <w:top w:val="nil"/>
              <w:left w:val="nil"/>
              <w:bottom w:val="nil"/>
              <w:right w:val="nil"/>
            </w:tcBorders>
            <w:shd w:val="clear" w:color="auto" w:fill="auto"/>
            <w:noWrap/>
            <w:vAlign w:val="center"/>
            <w:hideMark/>
          </w:tcPr>
          <w:p w14:paraId="6F92760B" w14:textId="77777777" w:rsidR="004337E6" w:rsidRPr="002812B0" w:rsidRDefault="004337E6" w:rsidP="008975E4">
            <w:pPr>
              <w:jc w:val="right"/>
              <w:rPr>
                <w:rFonts w:cstheme="minorHAnsi"/>
                <w:sz w:val="18"/>
                <w:szCs w:val="18"/>
              </w:rPr>
            </w:pPr>
            <w:r w:rsidRPr="002812B0">
              <w:rPr>
                <w:rFonts w:cstheme="minorHAnsi"/>
                <w:sz w:val="18"/>
                <w:szCs w:val="18"/>
              </w:rPr>
              <w:t>75.88</w:t>
            </w:r>
          </w:p>
        </w:tc>
        <w:tc>
          <w:tcPr>
            <w:tcW w:w="894" w:type="dxa"/>
            <w:gridSpan w:val="2"/>
            <w:tcBorders>
              <w:top w:val="nil"/>
              <w:left w:val="nil"/>
              <w:bottom w:val="nil"/>
              <w:right w:val="nil"/>
            </w:tcBorders>
            <w:shd w:val="clear" w:color="auto" w:fill="auto"/>
            <w:noWrap/>
            <w:vAlign w:val="center"/>
            <w:hideMark/>
          </w:tcPr>
          <w:p w14:paraId="60C77E6D" w14:textId="77777777" w:rsidR="004337E6" w:rsidRPr="002812B0" w:rsidRDefault="004337E6" w:rsidP="008975E4">
            <w:pPr>
              <w:jc w:val="right"/>
              <w:rPr>
                <w:rFonts w:cstheme="minorHAnsi"/>
                <w:sz w:val="18"/>
                <w:szCs w:val="18"/>
              </w:rPr>
            </w:pPr>
            <w:r w:rsidRPr="002812B0">
              <w:rPr>
                <w:rFonts w:cstheme="minorHAnsi"/>
                <w:sz w:val="18"/>
                <w:szCs w:val="18"/>
              </w:rPr>
              <w:t>9.07</w:t>
            </w:r>
          </w:p>
        </w:tc>
        <w:tc>
          <w:tcPr>
            <w:tcW w:w="690" w:type="dxa"/>
            <w:gridSpan w:val="2"/>
            <w:tcBorders>
              <w:top w:val="nil"/>
              <w:left w:val="nil"/>
              <w:bottom w:val="nil"/>
              <w:right w:val="nil"/>
            </w:tcBorders>
            <w:shd w:val="clear" w:color="auto" w:fill="auto"/>
            <w:noWrap/>
            <w:vAlign w:val="center"/>
            <w:hideMark/>
          </w:tcPr>
          <w:p w14:paraId="604A1428" w14:textId="77777777" w:rsidR="004337E6" w:rsidRPr="002812B0" w:rsidRDefault="004337E6" w:rsidP="008975E4">
            <w:pPr>
              <w:jc w:val="right"/>
              <w:rPr>
                <w:rFonts w:cstheme="minorHAnsi"/>
                <w:b/>
                <w:bCs/>
                <w:sz w:val="18"/>
                <w:szCs w:val="18"/>
              </w:rPr>
            </w:pPr>
            <w:r w:rsidRPr="002812B0">
              <w:rPr>
                <w:rFonts w:cstheme="minorHAnsi"/>
                <w:b/>
                <w:bCs/>
                <w:sz w:val="18"/>
                <w:szCs w:val="18"/>
              </w:rPr>
              <w:t>84.95</w:t>
            </w:r>
          </w:p>
        </w:tc>
        <w:tc>
          <w:tcPr>
            <w:tcW w:w="974" w:type="dxa"/>
            <w:gridSpan w:val="2"/>
            <w:tcBorders>
              <w:top w:val="nil"/>
              <w:left w:val="nil"/>
              <w:bottom w:val="nil"/>
              <w:right w:val="nil"/>
            </w:tcBorders>
            <w:shd w:val="clear" w:color="auto" w:fill="auto"/>
            <w:noWrap/>
            <w:vAlign w:val="center"/>
            <w:hideMark/>
          </w:tcPr>
          <w:p w14:paraId="14F42657" w14:textId="77777777" w:rsidR="004337E6" w:rsidRPr="002812B0" w:rsidRDefault="004337E6" w:rsidP="008975E4">
            <w:pPr>
              <w:jc w:val="right"/>
              <w:rPr>
                <w:rFonts w:cstheme="minorHAnsi"/>
                <w:sz w:val="18"/>
                <w:szCs w:val="18"/>
              </w:rPr>
            </w:pPr>
            <w:r w:rsidRPr="002812B0">
              <w:rPr>
                <w:rFonts w:cstheme="minorHAnsi"/>
                <w:sz w:val="18"/>
                <w:szCs w:val="18"/>
              </w:rPr>
              <w:t>9.44</w:t>
            </w:r>
          </w:p>
        </w:tc>
        <w:tc>
          <w:tcPr>
            <w:tcW w:w="894" w:type="dxa"/>
            <w:gridSpan w:val="2"/>
            <w:tcBorders>
              <w:top w:val="nil"/>
              <w:left w:val="nil"/>
              <w:bottom w:val="nil"/>
              <w:right w:val="nil"/>
            </w:tcBorders>
            <w:shd w:val="clear" w:color="auto" w:fill="auto"/>
            <w:noWrap/>
            <w:vAlign w:val="center"/>
            <w:hideMark/>
          </w:tcPr>
          <w:p w14:paraId="756F88FB" w14:textId="77777777" w:rsidR="004337E6" w:rsidRPr="002812B0" w:rsidRDefault="004337E6" w:rsidP="008975E4">
            <w:pPr>
              <w:jc w:val="right"/>
              <w:rPr>
                <w:rFonts w:cstheme="minorHAnsi"/>
                <w:sz w:val="18"/>
                <w:szCs w:val="18"/>
              </w:rPr>
            </w:pPr>
            <w:r w:rsidRPr="002812B0">
              <w:rPr>
                <w:rFonts w:cstheme="minorHAnsi"/>
                <w:sz w:val="18"/>
                <w:szCs w:val="18"/>
              </w:rPr>
              <w:t>1.34</w:t>
            </w:r>
          </w:p>
        </w:tc>
        <w:tc>
          <w:tcPr>
            <w:tcW w:w="659" w:type="dxa"/>
            <w:gridSpan w:val="2"/>
            <w:tcBorders>
              <w:top w:val="nil"/>
              <w:left w:val="nil"/>
              <w:bottom w:val="nil"/>
              <w:right w:val="nil"/>
            </w:tcBorders>
            <w:shd w:val="clear" w:color="auto" w:fill="auto"/>
            <w:noWrap/>
            <w:vAlign w:val="center"/>
            <w:hideMark/>
          </w:tcPr>
          <w:p w14:paraId="52E6F9EC" w14:textId="77777777" w:rsidR="004337E6" w:rsidRPr="002812B0" w:rsidRDefault="004337E6" w:rsidP="008975E4">
            <w:pPr>
              <w:jc w:val="right"/>
              <w:rPr>
                <w:rFonts w:cstheme="minorHAnsi"/>
                <w:sz w:val="18"/>
                <w:szCs w:val="18"/>
              </w:rPr>
            </w:pPr>
            <w:r w:rsidRPr="002812B0">
              <w:rPr>
                <w:rFonts w:cstheme="minorHAnsi"/>
                <w:sz w:val="18"/>
                <w:szCs w:val="18"/>
              </w:rPr>
              <w:t>3.90</w:t>
            </w:r>
          </w:p>
        </w:tc>
        <w:tc>
          <w:tcPr>
            <w:tcW w:w="854" w:type="dxa"/>
            <w:tcBorders>
              <w:top w:val="nil"/>
              <w:left w:val="nil"/>
              <w:bottom w:val="nil"/>
              <w:right w:val="nil"/>
            </w:tcBorders>
            <w:shd w:val="clear" w:color="auto" w:fill="auto"/>
            <w:noWrap/>
            <w:vAlign w:val="center"/>
            <w:hideMark/>
          </w:tcPr>
          <w:p w14:paraId="020EAC6D" w14:textId="77777777" w:rsidR="004337E6" w:rsidRPr="002812B0" w:rsidRDefault="004337E6" w:rsidP="008975E4">
            <w:pPr>
              <w:jc w:val="right"/>
              <w:rPr>
                <w:rFonts w:cstheme="minorHAnsi"/>
                <w:b/>
                <w:bCs/>
                <w:sz w:val="18"/>
                <w:szCs w:val="18"/>
              </w:rPr>
            </w:pPr>
            <w:r w:rsidRPr="002812B0">
              <w:rPr>
                <w:rFonts w:cstheme="minorHAnsi"/>
                <w:b/>
                <w:bCs/>
                <w:sz w:val="18"/>
                <w:szCs w:val="18"/>
              </w:rPr>
              <w:t>14.68</w:t>
            </w:r>
          </w:p>
        </w:tc>
        <w:tc>
          <w:tcPr>
            <w:tcW w:w="792" w:type="dxa"/>
            <w:tcBorders>
              <w:top w:val="nil"/>
              <w:left w:val="nil"/>
              <w:bottom w:val="nil"/>
              <w:right w:val="single" w:sz="4" w:space="0" w:color="auto"/>
            </w:tcBorders>
            <w:shd w:val="clear" w:color="auto" w:fill="auto"/>
            <w:noWrap/>
            <w:vAlign w:val="center"/>
            <w:hideMark/>
          </w:tcPr>
          <w:p w14:paraId="07F99556" w14:textId="77777777" w:rsidR="004337E6" w:rsidRPr="002812B0" w:rsidRDefault="004337E6" w:rsidP="008975E4">
            <w:pPr>
              <w:jc w:val="right"/>
              <w:rPr>
                <w:rFonts w:cstheme="minorHAnsi"/>
                <w:sz w:val="18"/>
                <w:szCs w:val="18"/>
              </w:rPr>
            </w:pPr>
            <w:r w:rsidRPr="002812B0">
              <w:rPr>
                <w:rFonts w:cstheme="minorHAnsi"/>
                <w:sz w:val="18"/>
                <w:szCs w:val="18"/>
              </w:rPr>
              <w:t>0.37</w:t>
            </w:r>
          </w:p>
        </w:tc>
      </w:tr>
      <w:tr w:rsidR="004337E6" w:rsidRPr="002812B0" w14:paraId="40C13CE8" w14:textId="77777777" w:rsidTr="008975E4">
        <w:trPr>
          <w:trHeight w:hRule="exact" w:val="284"/>
        </w:trPr>
        <w:tc>
          <w:tcPr>
            <w:tcW w:w="1452" w:type="dxa"/>
            <w:tcBorders>
              <w:top w:val="nil"/>
              <w:left w:val="single" w:sz="4" w:space="0" w:color="auto"/>
              <w:bottom w:val="nil"/>
              <w:right w:val="single" w:sz="4" w:space="0" w:color="auto"/>
            </w:tcBorders>
            <w:shd w:val="clear" w:color="auto" w:fill="auto"/>
            <w:noWrap/>
            <w:vAlign w:val="bottom"/>
            <w:hideMark/>
          </w:tcPr>
          <w:p w14:paraId="71D9E90E" w14:textId="77777777" w:rsidR="004337E6" w:rsidRPr="002812B0" w:rsidRDefault="004337E6" w:rsidP="008975E4">
            <w:pPr>
              <w:rPr>
                <w:rFonts w:cstheme="minorHAnsi"/>
                <w:sz w:val="18"/>
                <w:szCs w:val="18"/>
              </w:rPr>
            </w:pPr>
            <w:r w:rsidRPr="002812B0">
              <w:rPr>
                <w:rFonts w:cstheme="minorHAnsi"/>
                <w:sz w:val="18"/>
                <w:szCs w:val="18"/>
              </w:rPr>
              <w:t>Belgium</w:t>
            </w:r>
          </w:p>
        </w:tc>
        <w:tc>
          <w:tcPr>
            <w:tcW w:w="425" w:type="dxa"/>
            <w:tcBorders>
              <w:top w:val="nil"/>
              <w:left w:val="nil"/>
              <w:bottom w:val="nil"/>
              <w:right w:val="nil"/>
            </w:tcBorders>
            <w:shd w:val="clear" w:color="auto" w:fill="auto"/>
            <w:noWrap/>
            <w:vAlign w:val="bottom"/>
            <w:hideMark/>
          </w:tcPr>
          <w:p w14:paraId="4FCEC549" w14:textId="77777777" w:rsidR="004337E6" w:rsidRPr="002812B0" w:rsidRDefault="004337E6" w:rsidP="008975E4">
            <w:pPr>
              <w:ind w:right="-111"/>
              <w:jc w:val="left"/>
              <w:rPr>
                <w:rFonts w:cstheme="minorHAnsi"/>
                <w:sz w:val="18"/>
                <w:szCs w:val="18"/>
              </w:rPr>
            </w:pPr>
            <w:r w:rsidRPr="002812B0">
              <w:rPr>
                <w:rFonts w:cstheme="minorHAnsi"/>
                <w:sz w:val="18"/>
                <w:szCs w:val="18"/>
              </w:rPr>
              <w:t>BE</w:t>
            </w:r>
          </w:p>
        </w:tc>
        <w:tc>
          <w:tcPr>
            <w:tcW w:w="992" w:type="dxa"/>
            <w:gridSpan w:val="2"/>
            <w:tcBorders>
              <w:top w:val="nil"/>
              <w:left w:val="single" w:sz="4" w:space="0" w:color="auto"/>
              <w:bottom w:val="nil"/>
              <w:right w:val="nil"/>
            </w:tcBorders>
            <w:shd w:val="clear" w:color="auto" w:fill="auto"/>
            <w:noWrap/>
            <w:vAlign w:val="bottom"/>
            <w:hideMark/>
          </w:tcPr>
          <w:p w14:paraId="4A73566A" w14:textId="77777777" w:rsidR="004337E6" w:rsidRPr="002812B0" w:rsidRDefault="004337E6" w:rsidP="008975E4">
            <w:pPr>
              <w:jc w:val="right"/>
              <w:rPr>
                <w:rFonts w:cstheme="minorHAnsi"/>
                <w:sz w:val="18"/>
                <w:szCs w:val="18"/>
              </w:rPr>
            </w:pPr>
            <w:r w:rsidRPr="002812B0">
              <w:rPr>
                <w:rFonts w:cstheme="minorHAnsi"/>
                <w:sz w:val="18"/>
                <w:szCs w:val="18"/>
              </w:rPr>
              <w:t>78.95</w:t>
            </w:r>
          </w:p>
        </w:tc>
        <w:tc>
          <w:tcPr>
            <w:tcW w:w="992" w:type="dxa"/>
            <w:gridSpan w:val="2"/>
            <w:tcBorders>
              <w:top w:val="nil"/>
              <w:left w:val="nil"/>
              <w:bottom w:val="nil"/>
              <w:right w:val="nil"/>
            </w:tcBorders>
            <w:shd w:val="clear" w:color="auto" w:fill="auto"/>
            <w:noWrap/>
            <w:vAlign w:val="bottom"/>
            <w:hideMark/>
          </w:tcPr>
          <w:p w14:paraId="45C6F2A1" w14:textId="77777777" w:rsidR="004337E6" w:rsidRPr="002812B0" w:rsidRDefault="004337E6" w:rsidP="008975E4">
            <w:pPr>
              <w:jc w:val="right"/>
              <w:rPr>
                <w:rFonts w:cstheme="minorHAnsi"/>
                <w:sz w:val="18"/>
                <w:szCs w:val="18"/>
              </w:rPr>
            </w:pPr>
            <w:r w:rsidRPr="002812B0">
              <w:rPr>
                <w:rFonts w:cstheme="minorHAnsi"/>
                <w:sz w:val="18"/>
                <w:szCs w:val="18"/>
              </w:rPr>
              <w:t>7.91</w:t>
            </w:r>
          </w:p>
        </w:tc>
        <w:tc>
          <w:tcPr>
            <w:tcW w:w="851" w:type="dxa"/>
            <w:gridSpan w:val="2"/>
            <w:tcBorders>
              <w:top w:val="nil"/>
              <w:left w:val="nil"/>
              <w:bottom w:val="nil"/>
              <w:right w:val="nil"/>
            </w:tcBorders>
            <w:shd w:val="clear" w:color="auto" w:fill="auto"/>
            <w:noWrap/>
            <w:vAlign w:val="bottom"/>
            <w:hideMark/>
          </w:tcPr>
          <w:p w14:paraId="7C56E752" w14:textId="77777777" w:rsidR="004337E6" w:rsidRPr="002812B0" w:rsidRDefault="004337E6" w:rsidP="008975E4">
            <w:pPr>
              <w:jc w:val="right"/>
              <w:rPr>
                <w:rFonts w:cstheme="minorHAnsi"/>
                <w:b/>
                <w:bCs/>
                <w:sz w:val="18"/>
                <w:szCs w:val="18"/>
              </w:rPr>
            </w:pPr>
            <w:r w:rsidRPr="002812B0">
              <w:rPr>
                <w:rFonts w:cstheme="minorHAnsi"/>
                <w:b/>
                <w:bCs/>
                <w:sz w:val="18"/>
                <w:szCs w:val="18"/>
              </w:rPr>
              <w:t>86.86</w:t>
            </w:r>
          </w:p>
        </w:tc>
        <w:tc>
          <w:tcPr>
            <w:tcW w:w="709" w:type="dxa"/>
            <w:gridSpan w:val="2"/>
            <w:tcBorders>
              <w:top w:val="nil"/>
              <w:left w:val="nil"/>
              <w:bottom w:val="nil"/>
              <w:right w:val="nil"/>
            </w:tcBorders>
            <w:shd w:val="clear" w:color="auto" w:fill="auto"/>
            <w:noWrap/>
            <w:vAlign w:val="bottom"/>
            <w:hideMark/>
          </w:tcPr>
          <w:p w14:paraId="2CF53704" w14:textId="77777777" w:rsidR="004337E6" w:rsidRPr="002812B0" w:rsidRDefault="004337E6" w:rsidP="008975E4">
            <w:pPr>
              <w:jc w:val="right"/>
              <w:rPr>
                <w:rFonts w:cstheme="minorHAnsi"/>
                <w:sz w:val="18"/>
                <w:szCs w:val="18"/>
              </w:rPr>
            </w:pPr>
            <w:r w:rsidRPr="002812B0">
              <w:rPr>
                <w:rFonts w:cstheme="minorHAnsi"/>
                <w:sz w:val="18"/>
                <w:szCs w:val="18"/>
              </w:rPr>
              <w:t>4.85</w:t>
            </w:r>
          </w:p>
        </w:tc>
        <w:tc>
          <w:tcPr>
            <w:tcW w:w="817" w:type="dxa"/>
            <w:gridSpan w:val="2"/>
            <w:tcBorders>
              <w:top w:val="nil"/>
              <w:left w:val="nil"/>
              <w:bottom w:val="nil"/>
              <w:right w:val="nil"/>
            </w:tcBorders>
            <w:shd w:val="clear" w:color="auto" w:fill="auto"/>
            <w:noWrap/>
            <w:vAlign w:val="bottom"/>
            <w:hideMark/>
          </w:tcPr>
          <w:p w14:paraId="564C6274" w14:textId="77777777" w:rsidR="004337E6" w:rsidRPr="002812B0" w:rsidRDefault="004337E6" w:rsidP="008975E4">
            <w:pPr>
              <w:jc w:val="right"/>
              <w:rPr>
                <w:rFonts w:cstheme="minorHAnsi"/>
                <w:sz w:val="18"/>
                <w:szCs w:val="18"/>
              </w:rPr>
            </w:pPr>
            <w:r w:rsidRPr="002812B0">
              <w:rPr>
                <w:rFonts w:cstheme="minorHAnsi"/>
                <w:sz w:val="18"/>
                <w:szCs w:val="18"/>
              </w:rPr>
              <w:t>2.68</w:t>
            </w:r>
          </w:p>
        </w:tc>
        <w:tc>
          <w:tcPr>
            <w:tcW w:w="659" w:type="dxa"/>
            <w:tcBorders>
              <w:top w:val="nil"/>
              <w:left w:val="nil"/>
              <w:bottom w:val="nil"/>
              <w:right w:val="nil"/>
            </w:tcBorders>
            <w:shd w:val="clear" w:color="auto" w:fill="auto"/>
            <w:noWrap/>
            <w:vAlign w:val="bottom"/>
            <w:hideMark/>
          </w:tcPr>
          <w:p w14:paraId="4B69D95A" w14:textId="77777777" w:rsidR="004337E6" w:rsidRPr="002812B0" w:rsidRDefault="004337E6" w:rsidP="008975E4">
            <w:pPr>
              <w:jc w:val="right"/>
              <w:rPr>
                <w:rFonts w:cstheme="minorHAnsi"/>
                <w:sz w:val="18"/>
                <w:szCs w:val="18"/>
              </w:rPr>
            </w:pPr>
            <w:r w:rsidRPr="002812B0">
              <w:rPr>
                <w:rFonts w:cstheme="minorHAnsi"/>
                <w:sz w:val="18"/>
                <w:szCs w:val="18"/>
              </w:rPr>
              <w:t>5.10</w:t>
            </w:r>
          </w:p>
        </w:tc>
        <w:tc>
          <w:tcPr>
            <w:tcW w:w="933" w:type="dxa"/>
            <w:gridSpan w:val="2"/>
            <w:tcBorders>
              <w:top w:val="nil"/>
              <w:left w:val="nil"/>
              <w:bottom w:val="nil"/>
              <w:right w:val="nil"/>
            </w:tcBorders>
            <w:shd w:val="clear" w:color="auto" w:fill="auto"/>
            <w:noWrap/>
            <w:vAlign w:val="bottom"/>
            <w:hideMark/>
          </w:tcPr>
          <w:p w14:paraId="36C42A09" w14:textId="77777777" w:rsidR="004337E6" w:rsidRPr="002812B0" w:rsidRDefault="004337E6" w:rsidP="008975E4">
            <w:pPr>
              <w:jc w:val="right"/>
              <w:rPr>
                <w:rFonts w:cstheme="minorHAnsi"/>
                <w:b/>
                <w:bCs/>
                <w:sz w:val="18"/>
                <w:szCs w:val="18"/>
              </w:rPr>
            </w:pPr>
            <w:r w:rsidRPr="002812B0">
              <w:rPr>
                <w:rFonts w:cstheme="minorHAnsi"/>
                <w:b/>
                <w:bCs/>
                <w:sz w:val="18"/>
                <w:szCs w:val="18"/>
              </w:rPr>
              <w:t>12.63</w:t>
            </w:r>
          </w:p>
        </w:tc>
        <w:tc>
          <w:tcPr>
            <w:tcW w:w="709" w:type="dxa"/>
            <w:tcBorders>
              <w:top w:val="nil"/>
              <w:left w:val="nil"/>
              <w:bottom w:val="nil"/>
              <w:right w:val="single" w:sz="4" w:space="0" w:color="auto"/>
            </w:tcBorders>
            <w:shd w:val="clear" w:color="auto" w:fill="auto"/>
            <w:noWrap/>
            <w:vAlign w:val="bottom"/>
            <w:hideMark/>
          </w:tcPr>
          <w:p w14:paraId="1E8D7B08" w14:textId="77777777" w:rsidR="004337E6" w:rsidRPr="002812B0" w:rsidRDefault="004337E6" w:rsidP="008975E4">
            <w:pPr>
              <w:jc w:val="right"/>
              <w:rPr>
                <w:rFonts w:cstheme="minorHAnsi"/>
                <w:sz w:val="18"/>
                <w:szCs w:val="18"/>
              </w:rPr>
            </w:pPr>
            <w:r w:rsidRPr="002812B0">
              <w:rPr>
                <w:rFonts w:cstheme="minorHAnsi"/>
                <w:sz w:val="18"/>
                <w:szCs w:val="18"/>
              </w:rPr>
              <w:t>0.51</w:t>
            </w:r>
          </w:p>
        </w:tc>
        <w:tc>
          <w:tcPr>
            <w:tcW w:w="989" w:type="dxa"/>
            <w:gridSpan w:val="2"/>
            <w:tcBorders>
              <w:top w:val="nil"/>
              <w:left w:val="nil"/>
              <w:bottom w:val="nil"/>
              <w:right w:val="nil"/>
            </w:tcBorders>
            <w:shd w:val="clear" w:color="auto" w:fill="auto"/>
            <w:noWrap/>
            <w:vAlign w:val="center"/>
            <w:hideMark/>
          </w:tcPr>
          <w:p w14:paraId="34B59AA1" w14:textId="77777777" w:rsidR="004337E6" w:rsidRPr="002812B0" w:rsidRDefault="004337E6" w:rsidP="008975E4">
            <w:pPr>
              <w:jc w:val="right"/>
              <w:rPr>
                <w:rFonts w:cstheme="minorHAnsi"/>
                <w:sz w:val="18"/>
                <w:szCs w:val="18"/>
              </w:rPr>
            </w:pPr>
            <w:r w:rsidRPr="002812B0">
              <w:rPr>
                <w:rFonts w:cstheme="minorHAnsi"/>
                <w:sz w:val="18"/>
                <w:szCs w:val="18"/>
              </w:rPr>
              <w:t>75.77</w:t>
            </w:r>
          </w:p>
        </w:tc>
        <w:tc>
          <w:tcPr>
            <w:tcW w:w="894" w:type="dxa"/>
            <w:gridSpan w:val="2"/>
            <w:tcBorders>
              <w:top w:val="nil"/>
              <w:left w:val="nil"/>
              <w:bottom w:val="nil"/>
              <w:right w:val="nil"/>
            </w:tcBorders>
            <w:shd w:val="clear" w:color="auto" w:fill="auto"/>
            <w:noWrap/>
            <w:vAlign w:val="center"/>
            <w:hideMark/>
          </w:tcPr>
          <w:p w14:paraId="35F9D939" w14:textId="77777777" w:rsidR="004337E6" w:rsidRPr="002812B0" w:rsidRDefault="004337E6" w:rsidP="008975E4">
            <w:pPr>
              <w:jc w:val="right"/>
              <w:rPr>
                <w:rFonts w:cstheme="minorHAnsi"/>
                <w:sz w:val="18"/>
                <w:szCs w:val="18"/>
              </w:rPr>
            </w:pPr>
            <w:r w:rsidRPr="002812B0">
              <w:rPr>
                <w:rFonts w:cstheme="minorHAnsi"/>
                <w:sz w:val="18"/>
                <w:szCs w:val="18"/>
              </w:rPr>
              <w:t>9.99</w:t>
            </w:r>
          </w:p>
        </w:tc>
        <w:tc>
          <w:tcPr>
            <w:tcW w:w="690" w:type="dxa"/>
            <w:gridSpan w:val="2"/>
            <w:tcBorders>
              <w:top w:val="nil"/>
              <w:left w:val="nil"/>
              <w:bottom w:val="nil"/>
              <w:right w:val="nil"/>
            </w:tcBorders>
            <w:shd w:val="clear" w:color="auto" w:fill="auto"/>
            <w:noWrap/>
            <w:vAlign w:val="center"/>
            <w:hideMark/>
          </w:tcPr>
          <w:p w14:paraId="4D0F252A" w14:textId="77777777" w:rsidR="004337E6" w:rsidRPr="002812B0" w:rsidRDefault="004337E6" w:rsidP="008975E4">
            <w:pPr>
              <w:jc w:val="right"/>
              <w:rPr>
                <w:rFonts w:cstheme="minorHAnsi"/>
                <w:b/>
                <w:bCs/>
                <w:sz w:val="18"/>
                <w:szCs w:val="18"/>
              </w:rPr>
            </w:pPr>
            <w:r w:rsidRPr="002812B0">
              <w:rPr>
                <w:rFonts w:cstheme="minorHAnsi"/>
                <w:b/>
                <w:bCs/>
                <w:sz w:val="18"/>
                <w:szCs w:val="18"/>
              </w:rPr>
              <w:t>85.76</w:t>
            </w:r>
          </w:p>
        </w:tc>
        <w:tc>
          <w:tcPr>
            <w:tcW w:w="974" w:type="dxa"/>
            <w:gridSpan w:val="2"/>
            <w:tcBorders>
              <w:top w:val="nil"/>
              <w:left w:val="nil"/>
              <w:bottom w:val="nil"/>
              <w:right w:val="nil"/>
            </w:tcBorders>
            <w:shd w:val="clear" w:color="auto" w:fill="auto"/>
            <w:noWrap/>
            <w:vAlign w:val="center"/>
            <w:hideMark/>
          </w:tcPr>
          <w:p w14:paraId="5911A4B5" w14:textId="77777777" w:rsidR="004337E6" w:rsidRPr="002812B0" w:rsidRDefault="004337E6" w:rsidP="008975E4">
            <w:pPr>
              <w:jc w:val="right"/>
              <w:rPr>
                <w:rFonts w:cstheme="minorHAnsi"/>
                <w:sz w:val="18"/>
                <w:szCs w:val="18"/>
              </w:rPr>
            </w:pPr>
            <w:r w:rsidRPr="002812B0">
              <w:rPr>
                <w:rFonts w:cstheme="minorHAnsi"/>
                <w:sz w:val="18"/>
                <w:szCs w:val="18"/>
              </w:rPr>
              <w:t>5.43</w:t>
            </w:r>
          </w:p>
        </w:tc>
        <w:tc>
          <w:tcPr>
            <w:tcW w:w="894" w:type="dxa"/>
            <w:gridSpan w:val="2"/>
            <w:tcBorders>
              <w:top w:val="nil"/>
              <w:left w:val="nil"/>
              <w:bottom w:val="nil"/>
              <w:right w:val="nil"/>
            </w:tcBorders>
            <w:shd w:val="clear" w:color="auto" w:fill="auto"/>
            <w:noWrap/>
            <w:vAlign w:val="center"/>
            <w:hideMark/>
          </w:tcPr>
          <w:p w14:paraId="14E8958A" w14:textId="77777777" w:rsidR="004337E6" w:rsidRPr="002812B0" w:rsidRDefault="004337E6" w:rsidP="008975E4">
            <w:pPr>
              <w:jc w:val="right"/>
              <w:rPr>
                <w:rFonts w:cstheme="minorHAnsi"/>
                <w:sz w:val="18"/>
                <w:szCs w:val="18"/>
              </w:rPr>
            </w:pPr>
            <w:r w:rsidRPr="002812B0">
              <w:rPr>
                <w:rFonts w:cstheme="minorHAnsi"/>
                <w:sz w:val="18"/>
                <w:szCs w:val="18"/>
              </w:rPr>
              <w:t>4.11</w:t>
            </w:r>
          </w:p>
        </w:tc>
        <w:tc>
          <w:tcPr>
            <w:tcW w:w="659" w:type="dxa"/>
            <w:gridSpan w:val="2"/>
            <w:tcBorders>
              <w:top w:val="nil"/>
              <w:left w:val="nil"/>
              <w:bottom w:val="nil"/>
              <w:right w:val="nil"/>
            </w:tcBorders>
            <w:shd w:val="clear" w:color="auto" w:fill="auto"/>
            <w:noWrap/>
            <w:vAlign w:val="center"/>
            <w:hideMark/>
          </w:tcPr>
          <w:p w14:paraId="39BD842F" w14:textId="77777777" w:rsidR="004337E6" w:rsidRPr="002812B0" w:rsidRDefault="004337E6" w:rsidP="008975E4">
            <w:pPr>
              <w:jc w:val="right"/>
              <w:rPr>
                <w:rFonts w:cstheme="minorHAnsi"/>
                <w:sz w:val="18"/>
                <w:szCs w:val="18"/>
              </w:rPr>
            </w:pPr>
            <w:r w:rsidRPr="002812B0">
              <w:rPr>
                <w:rFonts w:cstheme="minorHAnsi"/>
                <w:sz w:val="18"/>
                <w:szCs w:val="18"/>
              </w:rPr>
              <w:t>3.96</w:t>
            </w:r>
          </w:p>
        </w:tc>
        <w:tc>
          <w:tcPr>
            <w:tcW w:w="854" w:type="dxa"/>
            <w:tcBorders>
              <w:top w:val="nil"/>
              <w:left w:val="nil"/>
              <w:bottom w:val="nil"/>
              <w:right w:val="nil"/>
            </w:tcBorders>
            <w:shd w:val="clear" w:color="auto" w:fill="auto"/>
            <w:noWrap/>
            <w:vAlign w:val="center"/>
            <w:hideMark/>
          </w:tcPr>
          <w:p w14:paraId="3684C9A1" w14:textId="77777777" w:rsidR="004337E6" w:rsidRPr="002812B0" w:rsidRDefault="004337E6" w:rsidP="008975E4">
            <w:pPr>
              <w:jc w:val="right"/>
              <w:rPr>
                <w:rFonts w:cstheme="minorHAnsi"/>
                <w:b/>
                <w:bCs/>
                <w:sz w:val="18"/>
                <w:szCs w:val="18"/>
              </w:rPr>
            </w:pPr>
            <w:r w:rsidRPr="002812B0">
              <w:rPr>
                <w:rFonts w:cstheme="minorHAnsi"/>
                <w:b/>
                <w:bCs/>
                <w:sz w:val="18"/>
                <w:szCs w:val="18"/>
              </w:rPr>
              <w:t>13.50</w:t>
            </w:r>
          </w:p>
        </w:tc>
        <w:tc>
          <w:tcPr>
            <w:tcW w:w="792" w:type="dxa"/>
            <w:tcBorders>
              <w:top w:val="nil"/>
              <w:left w:val="nil"/>
              <w:bottom w:val="nil"/>
              <w:right w:val="single" w:sz="4" w:space="0" w:color="auto"/>
            </w:tcBorders>
            <w:shd w:val="clear" w:color="auto" w:fill="auto"/>
            <w:noWrap/>
            <w:vAlign w:val="center"/>
            <w:hideMark/>
          </w:tcPr>
          <w:p w14:paraId="1F37F511" w14:textId="77777777" w:rsidR="004337E6" w:rsidRPr="002812B0" w:rsidRDefault="004337E6" w:rsidP="008975E4">
            <w:pPr>
              <w:jc w:val="right"/>
              <w:rPr>
                <w:rFonts w:cstheme="minorHAnsi"/>
                <w:sz w:val="18"/>
                <w:szCs w:val="18"/>
              </w:rPr>
            </w:pPr>
            <w:r w:rsidRPr="002812B0">
              <w:rPr>
                <w:rFonts w:cstheme="minorHAnsi"/>
                <w:sz w:val="18"/>
                <w:szCs w:val="18"/>
              </w:rPr>
              <w:t>0.73</w:t>
            </w:r>
          </w:p>
        </w:tc>
      </w:tr>
      <w:tr w:rsidR="004337E6" w:rsidRPr="002812B0" w14:paraId="20204C72" w14:textId="77777777" w:rsidTr="008975E4">
        <w:trPr>
          <w:trHeight w:hRule="exact" w:val="284"/>
        </w:trPr>
        <w:tc>
          <w:tcPr>
            <w:tcW w:w="1452" w:type="dxa"/>
            <w:tcBorders>
              <w:top w:val="nil"/>
              <w:left w:val="single" w:sz="4" w:space="0" w:color="auto"/>
              <w:bottom w:val="nil"/>
              <w:right w:val="single" w:sz="4" w:space="0" w:color="auto"/>
            </w:tcBorders>
            <w:shd w:val="clear" w:color="auto" w:fill="auto"/>
            <w:noWrap/>
            <w:vAlign w:val="bottom"/>
            <w:hideMark/>
          </w:tcPr>
          <w:p w14:paraId="504A5ECE" w14:textId="77777777" w:rsidR="004337E6" w:rsidRPr="002812B0" w:rsidRDefault="004337E6" w:rsidP="008975E4">
            <w:pPr>
              <w:rPr>
                <w:rFonts w:cstheme="minorHAnsi"/>
                <w:sz w:val="18"/>
                <w:szCs w:val="18"/>
              </w:rPr>
            </w:pPr>
            <w:r w:rsidRPr="002812B0">
              <w:rPr>
                <w:rFonts w:cstheme="minorHAnsi"/>
                <w:sz w:val="18"/>
                <w:szCs w:val="18"/>
              </w:rPr>
              <w:t>Luxembourg</w:t>
            </w:r>
          </w:p>
        </w:tc>
        <w:tc>
          <w:tcPr>
            <w:tcW w:w="425" w:type="dxa"/>
            <w:tcBorders>
              <w:top w:val="nil"/>
              <w:left w:val="nil"/>
              <w:bottom w:val="nil"/>
              <w:right w:val="nil"/>
            </w:tcBorders>
            <w:shd w:val="clear" w:color="auto" w:fill="auto"/>
            <w:noWrap/>
            <w:vAlign w:val="bottom"/>
            <w:hideMark/>
          </w:tcPr>
          <w:p w14:paraId="5023EC76" w14:textId="77777777" w:rsidR="004337E6" w:rsidRPr="002812B0" w:rsidRDefault="004337E6" w:rsidP="008975E4">
            <w:pPr>
              <w:ind w:right="-111"/>
              <w:jc w:val="left"/>
              <w:rPr>
                <w:rFonts w:cstheme="minorHAnsi"/>
                <w:sz w:val="18"/>
                <w:szCs w:val="18"/>
              </w:rPr>
            </w:pPr>
            <w:r w:rsidRPr="002812B0">
              <w:rPr>
                <w:rFonts w:cstheme="minorHAnsi"/>
                <w:sz w:val="18"/>
                <w:szCs w:val="18"/>
              </w:rPr>
              <w:t>LU</w:t>
            </w:r>
          </w:p>
        </w:tc>
        <w:tc>
          <w:tcPr>
            <w:tcW w:w="992" w:type="dxa"/>
            <w:gridSpan w:val="2"/>
            <w:tcBorders>
              <w:top w:val="nil"/>
              <w:left w:val="single" w:sz="4" w:space="0" w:color="auto"/>
              <w:bottom w:val="nil"/>
              <w:right w:val="nil"/>
            </w:tcBorders>
            <w:shd w:val="clear" w:color="auto" w:fill="auto"/>
            <w:noWrap/>
            <w:vAlign w:val="bottom"/>
            <w:hideMark/>
          </w:tcPr>
          <w:p w14:paraId="0D334CBA" w14:textId="77777777" w:rsidR="004337E6" w:rsidRPr="002812B0" w:rsidRDefault="004337E6" w:rsidP="008975E4">
            <w:pPr>
              <w:jc w:val="right"/>
              <w:rPr>
                <w:rFonts w:cstheme="minorHAnsi"/>
                <w:sz w:val="18"/>
                <w:szCs w:val="18"/>
              </w:rPr>
            </w:pPr>
            <w:r w:rsidRPr="002812B0">
              <w:rPr>
                <w:rFonts w:cstheme="minorHAnsi"/>
                <w:sz w:val="18"/>
                <w:szCs w:val="18"/>
              </w:rPr>
              <w:t>80.31</w:t>
            </w:r>
          </w:p>
        </w:tc>
        <w:tc>
          <w:tcPr>
            <w:tcW w:w="992" w:type="dxa"/>
            <w:gridSpan w:val="2"/>
            <w:tcBorders>
              <w:top w:val="nil"/>
              <w:left w:val="nil"/>
              <w:bottom w:val="nil"/>
              <w:right w:val="nil"/>
            </w:tcBorders>
            <w:shd w:val="clear" w:color="auto" w:fill="auto"/>
            <w:noWrap/>
            <w:vAlign w:val="bottom"/>
            <w:hideMark/>
          </w:tcPr>
          <w:p w14:paraId="04133798" w14:textId="77777777" w:rsidR="004337E6" w:rsidRPr="002812B0" w:rsidRDefault="004337E6" w:rsidP="008975E4">
            <w:pPr>
              <w:jc w:val="right"/>
              <w:rPr>
                <w:rFonts w:cstheme="minorHAnsi"/>
                <w:sz w:val="18"/>
                <w:szCs w:val="18"/>
              </w:rPr>
            </w:pPr>
            <w:r w:rsidRPr="002812B0">
              <w:rPr>
                <w:rFonts w:cstheme="minorHAnsi"/>
                <w:sz w:val="18"/>
                <w:szCs w:val="18"/>
              </w:rPr>
              <w:t>7.59</w:t>
            </w:r>
          </w:p>
        </w:tc>
        <w:tc>
          <w:tcPr>
            <w:tcW w:w="851" w:type="dxa"/>
            <w:gridSpan w:val="2"/>
            <w:tcBorders>
              <w:top w:val="nil"/>
              <w:left w:val="nil"/>
              <w:bottom w:val="nil"/>
              <w:right w:val="nil"/>
            </w:tcBorders>
            <w:shd w:val="clear" w:color="auto" w:fill="auto"/>
            <w:noWrap/>
            <w:vAlign w:val="bottom"/>
            <w:hideMark/>
          </w:tcPr>
          <w:p w14:paraId="70486249" w14:textId="77777777" w:rsidR="004337E6" w:rsidRPr="002812B0" w:rsidRDefault="004337E6" w:rsidP="008975E4">
            <w:pPr>
              <w:jc w:val="right"/>
              <w:rPr>
                <w:rFonts w:cstheme="minorHAnsi"/>
                <w:b/>
                <w:bCs/>
                <w:sz w:val="18"/>
                <w:szCs w:val="18"/>
              </w:rPr>
            </w:pPr>
            <w:r w:rsidRPr="002812B0">
              <w:rPr>
                <w:rFonts w:cstheme="minorHAnsi"/>
                <w:b/>
                <w:bCs/>
                <w:sz w:val="18"/>
                <w:szCs w:val="18"/>
              </w:rPr>
              <w:t>87.90</w:t>
            </w:r>
          </w:p>
        </w:tc>
        <w:tc>
          <w:tcPr>
            <w:tcW w:w="709" w:type="dxa"/>
            <w:gridSpan w:val="2"/>
            <w:tcBorders>
              <w:top w:val="nil"/>
              <w:left w:val="nil"/>
              <w:bottom w:val="nil"/>
              <w:right w:val="nil"/>
            </w:tcBorders>
            <w:shd w:val="clear" w:color="auto" w:fill="auto"/>
            <w:noWrap/>
            <w:vAlign w:val="bottom"/>
            <w:hideMark/>
          </w:tcPr>
          <w:p w14:paraId="23EF80D5" w14:textId="77777777" w:rsidR="004337E6" w:rsidRPr="002812B0" w:rsidRDefault="004337E6" w:rsidP="008975E4">
            <w:pPr>
              <w:jc w:val="right"/>
              <w:rPr>
                <w:rFonts w:cstheme="minorHAnsi"/>
                <w:sz w:val="18"/>
                <w:szCs w:val="18"/>
              </w:rPr>
            </w:pPr>
            <w:r w:rsidRPr="002812B0">
              <w:rPr>
                <w:rFonts w:cstheme="minorHAnsi"/>
                <w:sz w:val="18"/>
                <w:szCs w:val="18"/>
              </w:rPr>
              <w:t>3.47</w:t>
            </w:r>
          </w:p>
        </w:tc>
        <w:tc>
          <w:tcPr>
            <w:tcW w:w="817" w:type="dxa"/>
            <w:gridSpan w:val="2"/>
            <w:tcBorders>
              <w:top w:val="nil"/>
              <w:left w:val="nil"/>
              <w:bottom w:val="nil"/>
              <w:right w:val="nil"/>
            </w:tcBorders>
            <w:shd w:val="clear" w:color="auto" w:fill="auto"/>
            <w:noWrap/>
            <w:vAlign w:val="bottom"/>
            <w:hideMark/>
          </w:tcPr>
          <w:p w14:paraId="362E3E07" w14:textId="77777777" w:rsidR="004337E6" w:rsidRPr="002812B0" w:rsidRDefault="004337E6" w:rsidP="008975E4">
            <w:pPr>
              <w:jc w:val="right"/>
              <w:rPr>
                <w:rFonts w:cstheme="minorHAnsi"/>
                <w:sz w:val="18"/>
                <w:szCs w:val="18"/>
              </w:rPr>
            </w:pPr>
            <w:r w:rsidRPr="002812B0">
              <w:rPr>
                <w:rFonts w:cstheme="minorHAnsi"/>
                <w:sz w:val="18"/>
                <w:szCs w:val="18"/>
              </w:rPr>
              <w:t>6.18</w:t>
            </w:r>
          </w:p>
        </w:tc>
        <w:tc>
          <w:tcPr>
            <w:tcW w:w="659" w:type="dxa"/>
            <w:tcBorders>
              <w:top w:val="nil"/>
              <w:left w:val="nil"/>
              <w:bottom w:val="nil"/>
              <w:right w:val="nil"/>
            </w:tcBorders>
            <w:shd w:val="clear" w:color="auto" w:fill="auto"/>
            <w:noWrap/>
            <w:vAlign w:val="bottom"/>
            <w:hideMark/>
          </w:tcPr>
          <w:p w14:paraId="270E536F" w14:textId="77777777" w:rsidR="004337E6" w:rsidRPr="002812B0" w:rsidRDefault="004337E6" w:rsidP="008975E4">
            <w:pPr>
              <w:jc w:val="right"/>
              <w:rPr>
                <w:rFonts w:cstheme="minorHAnsi"/>
                <w:sz w:val="18"/>
                <w:szCs w:val="18"/>
              </w:rPr>
            </w:pPr>
            <w:r w:rsidRPr="002812B0">
              <w:rPr>
                <w:rFonts w:cstheme="minorHAnsi"/>
                <w:sz w:val="18"/>
                <w:szCs w:val="18"/>
              </w:rPr>
              <w:t>2.19</w:t>
            </w:r>
          </w:p>
        </w:tc>
        <w:tc>
          <w:tcPr>
            <w:tcW w:w="933" w:type="dxa"/>
            <w:gridSpan w:val="2"/>
            <w:tcBorders>
              <w:top w:val="nil"/>
              <w:left w:val="nil"/>
              <w:bottom w:val="nil"/>
              <w:right w:val="nil"/>
            </w:tcBorders>
            <w:shd w:val="clear" w:color="auto" w:fill="auto"/>
            <w:noWrap/>
            <w:vAlign w:val="bottom"/>
            <w:hideMark/>
          </w:tcPr>
          <w:p w14:paraId="6BA38856" w14:textId="77777777" w:rsidR="004337E6" w:rsidRPr="002812B0" w:rsidRDefault="004337E6" w:rsidP="008975E4">
            <w:pPr>
              <w:jc w:val="right"/>
              <w:rPr>
                <w:rFonts w:cstheme="minorHAnsi"/>
                <w:b/>
                <w:bCs/>
                <w:sz w:val="18"/>
                <w:szCs w:val="18"/>
              </w:rPr>
            </w:pPr>
            <w:r w:rsidRPr="002812B0">
              <w:rPr>
                <w:rFonts w:cstheme="minorHAnsi"/>
                <w:b/>
                <w:bCs/>
                <w:sz w:val="18"/>
                <w:szCs w:val="18"/>
              </w:rPr>
              <w:t>11.84</w:t>
            </w:r>
          </w:p>
        </w:tc>
        <w:tc>
          <w:tcPr>
            <w:tcW w:w="709" w:type="dxa"/>
            <w:tcBorders>
              <w:top w:val="nil"/>
              <w:left w:val="nil"/>
              <w:bottom w:val="nil"/>
              <w:right w:val="single" w:sz="4" w:space="0" w:color="auto"/>
            </w:tcBorders>
            <w:shd w:val="clear" w:color="auto" w:fill="auto"/>
            <w:noWrap/>
            <w:vAlign w:val="bottom"/>
            <w:hideMark/>
          </w:tcPr>
          <w:p w14:paraId="7BB2423A" w14:textId="77777777" w:rsidR="004337E6" w:rsidRPr="002812B0" w:rsidRDefault="004337E6" w:rsidP="008975E4">
            <w:pPr>
              <w:jc w:val="right"/>
              <w:rPr>
                <w:rFonts w:cstheme="minorHAnsi"/>
                <w:sz w:val="18"/>
                <w:szCs w:val="18"/>
              </w:rPr>
            </w:pPr>
            <w:r w:rsidRPr="002812B0">
              <w:rPr>
                <w:rFonts w:cstheme="minorHAnsi"/>
                <w:sz w:val="18"/>
                <w:szCs w:val="18"/>
              </w:rPr>
              <w:t>0.26</w:t>
            </w:r>
          </w:p>
        </w:tc>
        <w:tc>
          <w:tcPr>
            <w:tcW w:w="989" w:type="dxa"/>
            <w:gridSpan w:val="2"/>
            <w:tcBorders>
              <w:top w:val="nil"/>
              <w:left w:val="nil"/>
              <w:bottom w:val="nil"/>
              <w:right w:val="nil"/>
            </w:tcBorders>
            <w:shd w:val="clear" w:color="auto" w:fill="auto"/>
            <w:noWrap/>
            <w:vAlign w:val="center"/>
            <w:hideMark/>
          </w:tcPr>
          <w:p w14:paraId="00A395FF" w14:textId="77777777" w:rsidR="004337E6" w:rsidRPr="002812B0" w:rsidRDefault="004337E6" w:rsidP="008975E4">
            <w:pPr>
              <w:jc w:val="right"/>
              <w:rPr>
                <w:rFonts w:cstheme="minorHAnsi"/>
                <w:sz w:val="18"/>
                <w:szCs w:val="18"/>
              </w:rPr>
            </w:pPr>
            <w:r w:rsidRPr="002812B0">
              <w:rPr>
                <w:rFonts w:cstheme="minorHAnsi"/>
                <w:sz w:val="18"/>
                <w:szCs w:val="18"/>
              </w:rPr>
              <w:t>76.31</w:t>
            </w:r>
          </w:p>
        </w:tc>
        <w:tc>
          <w:tcPr>
            <w:tcW w:w="894" w:type="dxa"/>
            <w:gridSpan w:val="2"/>
            <w:tcBorders>
              <w:top w:val="nil"/>
              <w:left w:val="nil"/>
              <w:bottom w:val="nil"/>
              <w:right w:val="nil"/>
            </w:tcBorders>
            <w:shd w:val="clear" w:color="auto" w:fill="auto"/>
            <w:noWrap/>
            <w:vAlign w:val="center"/>
            <w:hideMark/>
          </w:tcPr>
          <w:p w14:paraId="1EBE12E8" w14:textId="77777777" w:rsidR="004337E6" w:rsidRPr="002812B0" w:rsidRDefault="004337E6" w:rsidP="008975E4">
            <w:pPr>
              <w:jc w:val="right"/>
              <w:rPr>
                <w:rFonts w:cstheme="minorHAnsi"/>
                <w:sz w:val="18"/>
                <w:szCs w:val="18"/>
              </w:rPr>
            </w:pPr>
            <w:r w:rsidRPr="002812B0">
              <w:rPr>
                <w:rFonts w:cstheme="minorHAnsi"/>
                <w:sz w:val="18"/>
                <w:szCs w:val="18"/>
              </w:rPr>
              <w:t>9.75</w:t>
            </w:r>
          </w:p>
        </w:tc>
        <w:tc>
          <w:tcPr>
            <w:tcW w:w="690" w:type="dxa"/>
            <w:gridSpan w:val="2"/>
            <w:tcBorders>
              <w:top w:val="nil"/>
              <w:left w:val="nil"/>
              <w:bottom w:val="nil"/>
              <w:right w:val="nil"/>
            </w:tcBorders>
            <w:shd w:val="clear" w:color="auto" w:fill="auto"/>
            <w:noWrap/>
            <w:vAlign w:val="center"/>
            <w:hideMark/>
          </w:tcPr>
          <w:p w14:paraId="7CE81BC1" w14:textId="77777777" w:rsidR="004337E6" w:rsidRPr="002812B0" w:rsidRDefault="004337E6" w:rsidP="008975E4">
            <w:pPr>
              <w:jc w:val="right"/>
              <w:rPr>
                <w:rFonts w:cstheme="minorHAnsi"/>
                <w:b/>
                <w:bCs/>
                <w:sz w:val="18"/>
                <w:szCs w:val="18"/>
              </w:rPr>
            </w:pPr>
            <w:r w:rsidRPr="002812B0">
              <w:rPr>
                <w:rFonts w:cstheme="minorHAnsi"/>
                <w:b/>
                <w:bCs/>
                <w:sz w:val="18"/>
                <w:szCs w:val="18"/>
              </w:rPr>
              <w:t>86.06</w:t>
            </w:r>
          </w:p>
        </w:tc>
        <w:tc>
          <w:tcPr>
            <w:tcW w:w="974" w:type="dxa"/>
            <w:gridSpan w:val="2"/>
            <w:tcBorders>
              <w:top w:val="nil"/>
              <w:left w:val="nil"/>
              <w:bottom w:val="nil"/>
              <w:right w:val="nil"/>
            </w:tcBorders>
            <w:shd w:val="clear" w:color="auto" w:fill="auto"/>
            <w:noWrap/>
            <w:vAlign w:val="center"/>
            <w:hideMark/>
          </w:tcPr>
          <w:p w14:paraId="6F7DBFC5" w14:textId="77777777" w:rsidR="004337E6" w:rsidRPr="002812B0" w:rsidRDefault="004337E6" w:rsidP="008975E4">
            <w:pPr>
              <w:jc w:val="right"/>
              <w:rPr>
                <w:rFonts w:cstheme="minorHAnsi"/>
                <w:sz w:val="18"/>
                <w:szCs w:val="18"/>
              </w:rPr>
            </w:pPr>
            <w:r w:rsidRPr="002812B0">
              <w:rPr>
                <w:rFonts w:cstheme="minorHAnsi"/>
                <w:sz w:val="18"/>
                <w:szCs w:val="18"/>
              </w:rPr>
              <w:t>6.30</w:t>
            </w:r>
          </w:p>
        </w:tc>
        <w:tc>
          <w:tcPr>
            <w:tcW w:w="894" w:type="dxa"/>
            <w:gridSpan w:val="2"/>
            <w:tcBorders>
              <w:top w:val="nil"/>
              <w:left w:val="nil"/>
              <w:bottom w:val="nil"/>
              <w:right w:val="nil"/>
            </w:tcBorders>
            <w:shd w:val="clear" w:color="auto" w:fill="auto"/>
            <w:noWrap/>
            <w:vAlign w:val="center"/>
            <w:hideMark/>
          </w:tcPr>
          <w:p w14:paraId="4632EC5D" w14:textId="77777777" w:rsidR="004337E6" w:rsidRPr="002812B0" w:rsidRDefault="004337E6" w:rsidP="008975E4">
            <w:pPr>
              <w:jc w:val="right"/>
              <w:rPr>
                <w:rFonts w:cstheme="minorHAnsi"/>
                <w:sz w:val="18"/>
                <w:szCs w:val="18"/>
              </w:rPr>
            </w:pPr>
            <w:r w:rsidRPr="002812B0">
              <w:rPr>
                <w:rFonts w:cstheme="minorHAnsi"/>
                <w:sz w:val="18"/>
                <w:szCs w:val="18"/>
              </w:rPr>
              <w:t>4.50</w:t>
            </w:r>
          </w:p>
        </w:tc>
        <w:tc>
          <w:tcPr>
            <w:tcW w:w="659" w:type="dxa"/>
            <w:gridSpan w:val="2"/>
            <w:tcBorders>
              <w:top w:val="nil"/>
              <w:left w:val="nil"/>
              <w:bottom w:val="nil"/>
              <w:right w:val="nil"/>
            </w:tcBorders>
            <w:shd w:val="clear" w:color="auto" w:fill="auto"/>
            <w:noWrap/>
            <w:vAlign w:val="center"/>
            <w:hideMark/>
          </w:tcPr>
          <w:p w14:paraId="2AA2991B" w14:textId="77777777" w:rsidR="004337E6" w:rsidRPr="002812B0" w:rsidRDefault="004337E6" w:rsidP="008975E4">
            <w:pPr>
              <w:jc w:val="right"/>
              <w:rPr>
                <w:rFonts w:cstheme="minorHAnsi"/>
                <w:sz w:val="18"/>
                <w:szCs w:val="18"/>
              </w:rPr>
            </w:pPr>
            <w:r w:rsidRPr="002812B0">
              <w:rPr>
                <w:rFonts w:cstheme="minorHAnsi"/>
                <w:sz w:val="18"/>
                <w:szCs w:val="18"/>
              </w:rPr>
              <w:t>3.00</w:t>
            </w:r>
          </w:p>
        </w:tc>
        <w:tc>
          <w:tcPr>
            <w:tcW w:w="854" w:type="dxa"/>
            <w:tcBorders>
              <w:top w:val="nil"/>
              <w:left w:val="nil"/>
              <w:bottom w:val="nil"/>
              <w:right w:val="nil"/>
            </w:tcBorders>
            <w:shd w:val="clear" w:color="auto" w:fill="auto"/>
            <w:noWrap/>
            <w:vAlign w:val="center"/>
            <w:hideMark/>
          </w:tcPr>
          <w:p w14:paraId="3AD87B2C" w14:textId="77777777" w:rsidR="004337E6" w:rsidRPr="002812B0" w:rsidRDefault="004337E6" w:rsidP="008975E4">
            <w:pPr>
              <w:jc w:val="right"/>
              <w:rPr>
                <w:rFonts w:cstheme="minorHAnsi"/>
                <w:b/>
                <w:bCs/>
                <w:sz w:val="18"/>
                <w:szCs w:val="18"/>
              </w:rPr>
            </w:pPr>
            <w:r w:rsidRPr="002812B0">
              <w:rPr>
                <w:rFonts w:cstheme="minorHAnsi"/>
                <w:b/>
                <w:bCs/>
                <w:sz w:val="18"/>
                <w:szCs w:val="18"/>
              </w:rPr>
              <w:t>13.80</w:t>
            </w:r>
          </w:p>
        </w:tc>
        <w:tc>
          <w:tcPr>
            <w:tcW w:w="792" w:type="dxa"/>
            <w:tcBorders>
              <w:top w:val="nil"/>
              <w:left w:val="nil"/>
              <w:bottom w:val="nil"/>
              <w:right w:val="single" w:sz="4" w:space="0" w:color="auto"/>
            </w:tcBorders>
            <w:shd w:val="clear" w:color="auto" w:fill="auto"/>
            <w:noWrap/>
            <w:vAlign w:val="center"/>
            <w:hideMark/>
          </w:tcPr>
          <w:p w14:paraId="1DFA2313" w14:textId="77777777" w:rsidR="004337E6" w:rsidRPr="002812B0" w:rsidRDefault="004337E6" w:rsidP="008975E4">
            <w:pPr>
              <w:jc w:val="right"/>
              <w:rPr>
                <w:rFonts w:cstheme="minorHAnsi"/>
                <w:sz w:val="18"/>
                <w:szCs w:val="18"/>
              </w:rPr>
            </w:pPr>
            <w:r w:rsidRPr="002812B0">
              <w:rPr>
                <w:rFonts w:cstheme="minorHAnsi"/>
                <w:sz w:val="18"/>
                <w:szCs w:val="18"/>
              </w:rPr>
              <w:t>0.15</w:t>
            </w:r>
          </w:p>
        </w:tc>
      </w:tr>
      <w:tr w:rsidR="004337E6" w:rsidRPr="002812B0" w14:paraId="2574AA69" w14:textId="77777777" w:rsidTr="008975E4">
        <w:trPr>
          <w:trHeight w:hRule="exact" w:val="284"/>
        </w:trPr>
        <w:tc>
          <w:tcPr>
            <w:tcW w:w="1452" w:type="dxa"/>
            <w:tcBorders>
              <w:top w:val="nil"/>
              <w:left w:val="single" w:sz="4" w:space="0" w:color="auto"/>
              <w:bottom w:val="nil"/>
              <w:right w:val="single" w:sz="4" w:space="0" w:color="auto"/>
            </w:tcBorders>
            <w:shd w:val="clear" w:color="auto" w:fill="auto"/>
            <w:noWrap/>
            <w:vAlign w:val="bottom"/>
            <w:hideMark/>
          </w:tcPr>
          <w:p w14:paraId="12218244" w14:textId="77777777" w:rsidR="004337E6" w:rsidRPr="002812B0" w:rsidRDefault="004337E6" w:rsidP="008975E4">
            <w:pPr>
              <w:rPr>
                <w:rFonts w:cstheme="minorHAnsi"/>
                <w:sz w:val="18"/>
                <w:szCs w:val="18"/>
              </w:rPr>
            </w:pPr>
            <w:r w:rsidRPr="002812B0">
              <w:rPr>
                <w:rFonts w:cstheme="minorHAnsi"/>
                <w:sz w:val="18"/>
                <w:szCs w:val="18"/>
              </w:rPr>
              <w:t>Sweden</w:t>
            </w:r>
          </w:p>
        </w:tc>
        <w:tc>
          <w:tcPr>
            <w:tcW w:w="425" w:type="dxa"/>
            <w:tcBorders>
              <w:top w:val="nil"/>
              <w:left w:val="nil"/>
              <w:bottom w:val="nil"/>
              <w:right w:val="nil"/>
            </w:tcBorders>
            <w:shd w:val="clear" w:color="auto" w:fill="auto"/>
            <w:noWrap/>
            <w:vAlign w:val="bottom"/>
            <w:hideMark/>
          </w:tcPr>
          <w:p w14:paraId="2A8F1DCE" w14:textId="77777777" w:rsidR="004337E6" w:rsidRPr="002812B0" w:rsidRDefault="004337E6" w:rsidP="008975E4">
            <w:pPr>
              <w:ind w:right="-111"/>
              <w:jc w:val="left"/>
              <w:rPr>
                <w:rFonts w:cstheme="minorHAnsi"/>
                <w:sz w:val="18"/>
                <w:szCs w:val="18"/>
              </w:rPr>
            </w:pPr>
            <w:r w:rsidRPr="002812B0">
              <w:rPr>
                <w:rFonts w:cstheme="minorHAnsi"/>
                <w:sz w:val="18"/>
                <w:szCs w:val="18"/>
              </w:rPr>
              <w:t>SE</w:t>
            </w:r>
          </w:p>
        </w:tc>
        <w:tc>
          <w:tcPr>
            <w:tcW w:w="992" w:type="dxa"/>
            <w:gridSpan w:val="2"/>
            <w:tcBorders>
              <w:top w:val="nil"/>
              <w:left w:val="single" w:sz="4" w:space="0" w:color="auto"/>
              <w:bottom w:val="nil"/>
              <w:right w:val="nil"/>
            </w:tcBorders>
            <w:shd w:val="clear" w:color="auto" w:fill="auto"/>
            <w:noWrap/>
            <w:vAlign w:val="bottom"/>
            <w:hideMark/>
          </w:tcPr>
          <w:p w14:paraId="4F773D07" w14:textId="77777777" w:rsidR="004337E6" w:rsidRPr="002812B0" w:rsidRDefault="004337E6" w:rsidP="008975E4">
            <w:pPr>
              <w:jc w:val="right"/>
              <w:rPr>
                <w:rFonts w:cstheme="minorHAnsi"/>
                <w:sz w:val="18"/>
                <w:szCs w:val="18"/>
              </w:rPr>
            </w:pPr>
            <w:r w:rsidRPr="002812B0">
              <w:rPr>
                <w:rFonts w:cstheme="minorHAnsi"/>
                <w:sz w:val="18"/>
                <w:szCs w:val="18"/>
              </w:rPr>
              <w:t>81.51</w:t>
            </w:r>
          </w:p>
        </w:tc>
        <w:tc>
          <w:tcPr>
            <w:tcW w:w="992" w:type="dxa"/>
            <w:gridSpan w:val="2"/>
            <w:tcBorders>
              <w:top w:val="nil"/>
              <w:left w:val="nil"/>
              <w:bottom w:val="nil"/>
              <w:right w:val="nil"/>
            </w:tcBorders>
            <w:shd w:val="clear" w:color="auto" w:fill="auto"/>
            <w:noWrap/>
            <w:vAlign w:val="bottom"/>
            <w:hideMark/>
          </w:tcPr>
          <w:p w14:paraId="2C6D238A" w14:textId="77777777" w:rsidR="004337E6" w:rsidRPr="002812B0" w:rsidRDefault="004337E6" w:rsidP="008975E4">
            <w:pPr>
              <w:jc w:val="right"/>
              <w:rPr>
                <w:rFonts w:cstheme="minorHAnsi"/>
                <w:sz w:val="18"/>
                <w:szCs w:val="18"/>
              </w:rPr>
            </w:pPr>
            <w:r w:rsidRPr="002812B0">
              <w:rPr>
                <w:rFonts w:cstheme="minorHAnsi"/>
                <w:sz w:val="18"/>
                <w:szCs w:val="18"/>
              </w:rPr>
              <w:t>7.39</w:t>
            </w:r>
          </w:p>
        </w:tc>
        <w:tc>
          <w:tcPr>
            <w:tcW w:w="851" w:type="dxa"/>
            <w:gridSpan w:val="2"/>
            <w:tcBorders>
              <w:top w:val="nil"/>
              <w:left w:val="nil"/>
              <w:bottom w:val="nil"/>
              <w:right w:val="nil"/>
            </w:tcBorders>
            <w:shd w:val="clear" w:color="auto" w:fill="auto"/>
            <w:noWrap/>
            <w:vAlign w:val="bottom"/>
            <w:hideMark/>
          </w:tcPr>
          <w:p w14:paraId="71F9317B" w14:textId="77777777" w:rsidR="004337E6" w:rsidRPr="002812B0" w:rsidRDefault="004337E6" w:rsidP="008975E4">
            <w:pPr>
              <w:jc w:val="right"/>
              <w:rPr>
                <w:rFonts w:cstheme="minorHAnsi"/>
                <w:b/>
                <w:bCs/>
                <w:sz w:val="18"/>
                <w:szCs w:val="18"/>
              </w:rPr>
            </w:pPr>
            <w:r w:rsidRPr="002812B0">
              <w:rPr>
                <w:rFonts w:cstheme="minorHAnsi"/>
                <w:b/>
                <w:bCs/>
                <w:sz w:val="18"/>
                <w:szCs w:val="18"/>
              </w:rPr>
              <w:t>88.90</w:t>
            </w:r>
          </w:p>
        </w:tc>
        <w:tc>
          <w:tcPr>
            <w:tcW w:w="709" w:type="dxa"/>
            <w:gridSpan w:val="2"/>
            <w:tcBorders>
              <w:top w:val="nil"/>
              <w:left w:val="nil"/>
              <w:bottom w:val="nil"/>
              <w:right w:val="nil"/>
            </w:tcBorders>
            <w:shd w:val="clear" w:color="auto" w:fill="auto"/>
            <w:noWrap/>
            <w:vAlign w:val="bottom"/>
            <w:hideMark/>
          </w:tcPr>
          <w:p w14:paraId="7FEC3F67" w14:textId="77777777" w:rsidR="004337E6" w:rsidRPr="002812B0" w:rsidRDefault="004337E6" w:rsidP="008975E4">
            <w:pPr>
              <w:jc w:val="right"/>
              <w:rPr>
                <w:rFonts w:cstheme="minorHAnsi"/>
                <w:sz w:val="18"/>
                <w:szCs w:val="18"/>
              </w:rPr>
            </w:pPr>
            <w:r w:rsidRPr="002812B0">
              <w:rPr>
                <w:rFonts w:cstheme="minorHAnsi"/>
                <w:sz w:val="18"/>
                <w:szCs w:val="18"/>
              </w:rPr>
              <w:t>1.06</w:t>
            </w:r>
          </w:p>
        </w:tc>
        <w:tc>
          <w:tcPr>
            <w:tcW w:w="817" w:type="dxa"/>
            <w:gridSpan w:val="2"/>
            <w:tcBorders>
              <w:top w:val="nil"/>
              <w:left w:val="nil"/>
              <w:bottom w:val="nil"/>
              <w:right w:val="nil"/>
            </w:tcBorders>
            <w:shd w:val="clear" w:color="auto" w:fill="auto"/>
            <w:noWrap/>
            <w:vAlign w:val="bottom"/>
            <w:hideMark/>
          </w:tcPr>
          <w:p w14:paraId="25495F0F" w14:textId="77777777" w:rsidR="004337E6" w:rsidRPr="002812B0" w:rsidRDefault="004337E6" w:rsidP="008975E4">
            <w:pPr>
              <w:jc w:val="right"/>
              <w:rPr>
                <w:rFonts w:cstheme="minorHAnsi"/>
                <w:sz w:val="18"/>
                <w:szCs w:val="18"/>
              </w:rPr>
            </w:pPr>
            <w:r w:rsidRPr="002812B0">
              <w:rPr>
                <w:rFonts w:cstheme="minorHAnsi"/>
                <w:sz w:val="18"/>
                <w:szCs w:val="18"/>
              </w:rPr>
              <w:t>1.94</w:t>
            </w:r>
          </w:p>
        </w:tc>
        <w:tc>
          <w:tcPr>
            <w:tcW w:w="659" w:type="dxa"/>
            <w:tcBorders>
              <w:top w:val="nil"/>
              <w:left w:val="nil"/>
              <w:bottom w:val="nil"/>
              <w:right w:val="nil"/>
            </w:tcBorders>
            <w:shd w:val="clear" w:color="auto" w:fill="auto"/>
            <w:noWrap/>
            <w:vAlign w:val="bottom"/>
            <w:hideMark/>
          </w:tcPr>
          <w:p w14:paraId="0AD09A0B" w14:textId="77777777" w:rsidR="004337E6" w:rsidRPr="002812B0" w:rsidRDefault="004337E6" w:rsidP="008975E4">
            <w:pPr>
              <w:jc w:val="right"/>
              <w:rPr>
                <w:rFonts w:cstheme="minorHAnsi"/>
                <w:sz w:val="18"/>
                <w:szCs w:val="18"/>
              </w:rPr>
            </w:pPr>
            <w:r w:rsidRPr="002812B0">
              <w:rPr>
                <w:rFonts w:cstheme="minorHAnsi"/>
                <w:sz w:val="18"/>
                <w:szCs w:val="18"/>
              </w:rPr>
              <w:t>7.39</w:t>
            </w:r>
          </w:p>
        </w:tc>
        <w:tc>
          <w:tcPr>
            <w:tcW w:w="933" w:type="dxa"/>
            <w:gridSpan w:val="2"/>
            <w:tcBorders>
              <w:top w:val="nil"/>
              <w:left w:val="nil"/>
              <w:bottom w:val="nil"/>
              <w:right w:val="nil"/>
            </w:tcBorders>
            <w:shd w:val="clear" w:color="auto" w:fill="auto"/>
            <w:noWrap/>
            <w:vAlign w:val="bottom"/>
            <w:hideMark/>
          </w:tcPr>
          <w:p w14:paraId="7FB2586E" w14:textId="77777777" w:rsidR="004337E6" w:rsidRPr="002812B0" w:rsidRDefault="004337E6" w:rsidP="008975E4">
            <w:pPr>
              <w:jc w:val="right"/>
              <w:rPr>
                <w:rFonts w:cstheme="minorHAnsi"/>
                <w:b/>
                <w:bCs/>
                <w:sz w:val="18"/>
                <w:szCs w:val="18"/>
              </w:rPr>
            </w:pPr>
            <w:r w:rsidRPr="002812B0">
              <w:rPr>
                <w:rFonts w:cstheme="minorHAnsi"/>
                <w:b/>
                <w:bCs/>
                <w:sz w:val="18"/>
                <w:szCs w:val="18"/>
              </w:rPr>
              <w:t>10.39</w:t>
            </w:r>
          </w:p>
        </w:tc>
        <w:tc>
          <w:tcPr>
            <w:tcW w:w="709" w:type="dxa"/>
            <w:tcBorders>
              <w:top w:val="nil"/>
              <w:left w:val="nil"/>
              <w:bottom w:val="nil"/>
              <w:right w:val="single" w:sz="4" w:space="0" w:color="auto"/>
            </w:tcBorders>
            <w:shd w:val="clear" w:color="auto" w:fill="auto"/>
            <w:noWrap/>
            <w:vAlign w:val="bottom"/>
            <w:hideMark/>
          </w:tcPr>
          <w:p w14:paraId="77F77C41" w14:textId="77777777" w:rsidR="004337E6" w:rsidRPr="002812B0" w:rsidRDefault="004337E6" w:rsidP="008975E4">
            <w:pPr>
              <w:jc w:val="right"/>
              <w:rPr>
                <w:rFonts w:cstheme="minorHAnsi"/>
                <w:sz w:val="18"/>
                <w:szCs w:val="18"/>
              </w:rPr>
            </w:pPr>
            <w:r w:rsidRPr="002812B0">
              <w:rPr>
                <w:rFonts w:cstheme="minorHAnsi"/>
                <w:sz w:val="18"/>
                <w:szCs w:val="18"/>
              </w:rPr>
              <w:t>0.70</w:t>
            </w:r>
          </w:p>
        </w:tc>
        <w:tc>
          <w:tcPr>
            <w:tcW w:w="989" w:type="dxa"/>
            <w:gridSpan w:val="2"/>
            <w:tcBorders>
              <w:top w:val="nil"/>
              <w:left w:val="nil"/>
              <w:bottom w:val="nil"/>
              <w:right w:val="nil"/>
            </w:tcBorders>
            <w:shd w:val="clear" w:color="auto" w:fill="auto"/>
            <w:noWrap/>
            <w:vAlign w:val="center"/>
            <w:hideMark/>
          </w:tcPr>
          <w:p w14:paraId="6C66B309" w14:textId="77777777" w:rsidR="004337E6" w:rsidRPr="002812B0" w:rsidRDefault="004337E6" w:rsidP="008975E4">
            <w:pPr>
              <w:jc w:val="right"/>
              <w:rPr>
                <w:rFonts w:cstheme="minorHAnsi"/>
                <w:sz w:val="18"/>
                <w:szCs w:val="18"/>
              </w:rPr>
            </w:pPr>
            <w:r w:rsidRPr="002812B0">
              <w:rPr>
                <w:rFonts w:cstheme="minorHAnsi"/>
                <w:sz w:val="18"/>
                <w:szCs w:val="18"/>
              </w:rPr>
              <w:t>79.84</w:t>
            </w:r>
          </w:p>
        </w:tc>
        <w:tc>
          <w:tcPr>
            <w:tcW w:w="894" w:type="dxa"/>
            <w:gridSpan w:val="2"/>
            <w:tcBorders>
              <w:top w:val="nil"/>
              <w:left w:val="nil"/>
              <w:bottom w:val="nil"/>
              <w:right w:val="nil"/>
            </w:tcBorders>
            <w:shd w:val="clear" w:color="auto" w:fill="auto"/>
            <w:noWrap/>
            <w:vAlign w:val="center"/>
            <w:hideMark/>
          </w:tcPr>
          <w:p w14:paraId="3AEF4FFD" w14:textId="77777777" w:rsidR="004337E6" w:rsidRPr="002812B0" w:rsidRDefault="004337E6" w:rsidP="008975E4">
            <w:pPr>
              <w:jc w:val="right"/>
              <w:rPr>
                <w:rFonts w:cstheme="minorHAnsi"/>
                <w:sz w:val="18"/>
                <w:szCs w:val="18"/>
              </w:rPr>
            </w:pPr>
            <w:r w:rsidRPr="002812B0">
              <w:rPr>
                <w:rFonts w:cstheme="minorHAnsi"/>
                <w:sz w:val="18"/>
                <w:szCs w:val="18"/>
              </w:rPr>
              <w:t>8.44</w:t>
            </w:r>
          </w:p>
        </w:tc>
        <w:tc>
          <w:tcPr>
            <w:tcW w:w="690" w:type="dxa"/>
            <w:gridSpan w:val="2"/>
            <w:tcBorders>
              <w:top w:val="nil"/>
              <w:left w:val="nil"/>
              <w:bottom w:val="nil"/>
              <w:right w:val="nil"/>
            </w:tcBorders>
            <w:shd w:val="clear" w:color="auto" w:fill="auto"/>
            <w:noWrap/>
            <w:vAlign w:val="center"/>
            <w:hideMark/>
          </w:tcPr>
          <w:p w14:paraId="09DC7029" w14:textId="77777777" w:rsidR="004337E6" w:rsidRPr="002812B0" w:rsidRDefault="004337E6" w:rsidP="008975E4">
            <w:pPr>
              <w:jc w:val="right"/>
              <w:rPr>
                <w:rFonts w:cstheme="minorHAnsi"/>
                <w:b/>
                <w:bCs/>
                <w:sz w:val="18"/>
                <w:szCs w:val="18"/>
              </w:rPr>
            </w:pPr>
            <w:r w:rsidRPr="002812B0">
              <w:rPr>
                <w:rFonts w:cstheme="minorHAnsi"/>
                <w:b/>
                <w:bCs/>
                <w:sz w:val="18"/>
                <w:szCs w:val="18"/>
              </w:rPr>
              <w:t>88.28</w:t>
            </w:r>
          </w:p>
        </w:tc>
        <w:tc>
          <w:tcPr>
            <w:tcW w:w="974" w:type="dxa"/>
            <w:gridSpan w:val="2"/>
            <w:tcBorders>
              <w:top w:val="nil"/>
              <w:left w:val="nil"/>
              <w:bottom w:val="nil"/>
              <w:right w:val="nil"/>
            </w:tcBorders>
            <w:shd w:val="clear" w:color="auto" w:fill="auto"/>
            <w:noWrap/>
            <w:vAlign w:val="center"/>
            <w:hideMark/>
          </w:tcPr>
          <w:p w14:paraId="68C780CD" w14:textId="77777777" w:rsidR="004337E6" w:rsidRPr="002812B0" w:rsidRDefault="004337E6" w:rsidP="008975E4">
            <w:pPr>
              <w:jc w:val="right"/>
              <w:rPr>
                <w:rFonts w:cstheme="minorHAnsi"/>
                <w:sz w:val="18"/>
                <w:szCs w:val="18"/>
              </w:rPr>
            </w:pPr>
            <w:r w:rsidRPr="002812B0">
              <w:rPr>
                <w:rFonts w:cstheme="minorHAnsi"/>
                <w:sz w:val="18"/>
                <w:szCs w:val="18"/>
              </w:rPr>
              <w:t>1.23</w:t>
            </w:r>
          </w:p>
        </w:tc>
        <w:tc>
          <w:tcPr>
            <w:tcW w:w="894" w:type="dxa"/>
            <w:gridSpan w:val="2"/>
            <w:tcBorders>
              <w:top w:val="nil"/>
              <w:left w:val="nil"/>
              <w:bottom w:val="nil"/>
              <w:right w:val="nil"/>
            </w:tcBorders>
            <w:shd w:val="clear" w:color="auto" w:fill="auto"/>
            <w:noWrap/>
            <w:vAlign w:val="center"/>
            <w:hideMark/>
          </w:tcPr>
          <w:p w14:paraId="48A5233F" w14:textId="77777777" w:rsidR="004337E6" w:rsidRPr="002812B0" w:rsidRDefault="004337E6" w:rsidP="008975E4">
            <w:pPr>
              <w:jc w:val="right"/>
              <w:rPr>
                <w:rFonts w:cstheme="minorHAnsi"/>
                <w:sz w:val="18"/>
                <w:szCs w:val="18"/>
              </w:rPr>
            </w:pPr>
            <w:r w:rsidRPr="002812B0">
              <w:rPr>
                <w:rFonts w:cstheme="minorHAnsi"/>
                <w:sz w:val="18"/>
                <w:szCs w:val="18"/>
              </w:rPr>
              <w:t>0.82</w:t>
            </w:r>
          </w:p>
        </w:tc>
        <w:tc>
          <w:tcPr>
            <w:tcW w:w="659" w:type="dxa"/>
            <w:gridSpan w:val="2"/>
            <w:tcBorders>
              <w:top w:val="nil"/>
              <w:left w:val="nil"/>
              <w:bottom w:val="nil"/>
              <w:right w:val="nil"/>
            </w:tcBorders>
            <w:shd w:val="clear" w:color="auto" w:fill="auto"/>
            <w:noWrap/>
            <w:vAlign w:val="center"/>
            <w:hideMark/>
          </w:tcPr>
          <w:p w14:paraId="0245FB83" w14:textId="77777777" w:rsidR="004337E6" w:rsidRPr="002812B0" w:rsidRDefault="004337E6" w:rsidP="008975E4">
            <w:pPr>
              <w:jc w:val="right"/>
              <w:rPr>
                <w:rFonts w:cstheme="minorHAnsi"/>
                <w:sz w:val="18"/>
                <w:szCs w:val="18"/>
              </w:rPr>
            </w:pPr>
            <w:r w:rsidRPr="002812B0">
              <w:rPr>
                <w:rFonts w:cstheme="minorHAnsi"/>
                <w:sz w:val="18"/>
                <w:szCs w:val="18"/>
              </w:rPr>
              <w:t>9.05</w:t>
            </w:r>
          </w:p>
        </w:tc>
        <w:tc>
          <w:tcPr>
            <w:tcW w:w="854" w:type="dxa"/>
            <w:tcBorders>
              <w:top w:val="nil"/>
              <w:left w:val="nil"/>
              <w:bottom w:val="nil"/>
              <w:right w:val="nil"/>
            </w:tcBorders>
            <w:shd w:val="clear" w:color="auto" w:fill="auto"/>
            <w:noWrap/>
            <w:vAlign w:val="center"/>
            <w:hideMark/>
          </w:tcPr>
          <w:p w14:paraId="51CE78FA" w14:textId="77777777" w:rsidR="004337E6" w:rsidRPr="002812B0" w:rsidRDefault="004337E6" w:rsidP="008975E4">
            <w:pPr>
              <w:jc w:val="right"/>
              <w:rPr>
                <w:rFonts w:cstheme="minorHAnsi"/>
                <w:b/>
                <w:bCs/>
                <w:sz w:val="18"/>
                <w:szCs w:val="18"/>
              </w:rPr>
            </w:pPr>
            <w:r w:rsidRPr="002812B0">
              <w:rPr>
                <w:rFonts w:cstheme="minorHAnsi"/>
                <w:b/>
                <w:bCs/>
                <w:sz w:val="18"/>
                <w:szCs w:val="18"/>
              </w:rPr>
              <w:t>11.10</w:t>
            </w:r>
          </w:p>
        </w:tc>
        <w:tc>
          <w:tcPr>
            <w:tcW w:w="792" w:type="dxa"/>
            <w:tcBorders>
              <w:top w:val="nil"/>
              <w:left w:val="nil"/>
              <w:bottom w:val="nil"/>
              <w:right w:val="single" w:sz="4" w:space="0" w:color="auto"/>
            </w:tcBorders>
            <w:shd w:val="clear" w:color="auto" w:fill="auto"/>
            <w:noWrap/>
            <w:vAlign w:val="center"/>
            <w:hideMark/>
          </w:tcPr>
          <w:p w14:paraId="7903E4FD" w14:textId="77777777" w:rsidR="004337E6" w:rsidRPr="002812B0" w:rsidRDefault="004337E6" w:rsidP="008975E4">
            <w:pPr>
              <w:jc w:val="right"/>
              <w:rPr>
                <w:rFonts w:cstheme="minorHAnsi"/>
                <w:sz w:val="18"/>
                <w:szCs w:val="18"/>
              </w:rPr>
            </w:pPr>
            <w:r w:rsidRPr="002812B0">
              <w:rPr>
                <w:rFonts w:cstheme="minorHAnsi"/>
                <w:sz w:val="18"/>
                <w:szCs w:val="18"/>
              </w:rPr>
              <w:t>0.62</w:t>
            </w:r>
          </w:p>
        </w:tc>
      </w:tr>
      <w:tr w:rsidR="004337E6" w:rsidRPr="002812B0" w14:paraId="285B1B16" w14:textId="77777777" w:rsidTr="008975E4">
        <w:trPr>
          <w:trHeight w:hRule="exact" w:val="284"/>
        </w:trPr>
        <w:tc>
          <w:tcPr>
            <w:tcW w:w="1452" w:type="dxa"/>
            <w:tcBorders>
              <w:top w:val="nil"/>
              <w:left w:val="single" w:sz="4" w:space="0" w:color="auto"/>
              <w:bottom w:val="nil"/>
              <w:right w:val="single" w:sz="4" w:space="0" w:color="auto"/>
            </w:tcBorders>
            <w:shd w:val="clear" w:color="auto" w:fill="auto"/>
            <w:noWrap/>
            <w:vAlign w:val="bottom"/>
            <w:hideMark/>
          </w:tcPr>
          <w:p w14:paraId="07BA3239" w14:textId="77777777" w:rsidR="004337E6" w:rsidRPr="002812B0" w:rsidRDefault="004337E6" w:rsidP="008975E4">
            <w:pPr>
              <w:rPr>
                <w:rFonts w:cstheme="minorHAnsi"/>
                <w:sz w:val="18"/>
                <w:szCs w:val="18"/>
              </w:rPr>
            </w:pPr>
            <w:r w:rsidRPr="002812B0">
              <w:rPr>
                <w:rFonts w:cstheme="minorHAnsi"/>
                <w:sz w:val="18"/>
                <w:szCs w:val="18"/>
              </w:rPr>
              <w:t>Netherlands</w:t>
            </w:r>
          </w:p>
        </w:tc>
        <w:tc>
          <w:tcPr>
            <w:tcW w:w="425" w:type="dxa"/>
            <w:tcBorders>
              <w:top w:val="nil"/>
              <w:left w:val="nil"/>
              <w:bottom w:val="nil"/>
              <w:right w:val="nil"/>
            </w:tcBorders>
            <w:shd w:val="clear" w:color="auto" w:fill="auto"/>
            <w:noWrap/>
            <w:vAlign w:val="bottom"/>
            <w:hideMark/>
          </w:tcPr>
          <w:p w14:paraId="0D257167" w14:textId="77777777" w:rsidR="004337E6" w:rsidRPr="002812B0" w:rsidRDefault="004337E6" w:rsidP="008975E4">
            <w:pPr>
              <w:ind w:right="-111"/>
              <w:jc w:val="left"/>
              <w:rPr>
                <w:rFonts w:cstheme="minorHAnsi"/>
                <w:sz w:val="18"/>
                <w:szCs w:val="18"/>
              </w:rPr>
            </w:pPr>
            <w:r w:rsidRPr="002812B0">
              <w:rPr>
                <w:rFonts w:cstheme="minorHAnsi"/>
                <w:sz w:val="18"/>
                <w:szCs w:val="18"/>
              </w:rPr>
              <w:t>NL</w:t>
            </w:r>
          </w:p>
        </w:tc>
        <w:tc>
          <w:tcPr>
            <w:tcW w:w="992" w:type="dxa"/>
            <w:gridSpan w:val="2"/>
            <w:tcBorders>
              <w:top w:val="nil"/>
              <w:left w:val="single" w:sz="4" w:space="0" w:color="auto"/>
              <w:bottom w:val="nil"/>
              <w:right w:val="nil"/>
            </w:tcBorders>
            <w:shd w:val="clear" w:color="auto" w:fill="auto"/>
            <w:noWrap/>
            <w:vAlign w:val="bottom"/>
            <w:hideMark/>
          </w:tcPr>
          <w:p w14:paraId="707C34D6" w14:textId="77777777" w:rsidR="004337E6" w:rsidRPr="002812B0" w:rsidRDefault="004337E6" w:rsidP="008975E4">
            <w:pPr>
              <w:jc w:val="right"/>
              <w:rPr>
                <w:rFonts w:cstheme="minorHAnsi"/>
                <w:sz w:val="18"/>
                <w:szCs w:val="18"/>
              </w:rPr>
            </w:pPr>
            <w:r w:rsidRPr="002812B0">
              <w:rPr>
                <w:rFonts w:cstheme="minorHAnsi"/>
                <w:sz w:val="18"/>
                <w:szCs w:val="18"/>
              </w:rPr>
              <w:t>83.15</w:t>
            </w:r>
          </w:p>
        </w:tc>
        <w:tc>
          <w:tcPr>
            <w:tcW w:w="992" w:type="dxa"/>
            <w:gridSpan w:val="2"/>
            <w:tcBorders>
              <w:top w:val="nil"/>
              <w:left w:val="nil"/>
              <w:bottom w:val="nil"/>
              <w:right w:val="nil"/>
            </w:tcBorders>
            <w:shd w:val="clear" w:color="auto" w:fill="auto"/>
            <w:noWrap/>
            <w:vAlign w:val="bottom"/>
            <w:hideMark/>
          </w:tcPr>
          <w:p w14:paraId="6803ED53" w14:textId="77777777" w:rsidR="004337E6" w:rsidRPr="002812B0" w:rsidRDefault="004337E6" w:rsidP="008975E4">
            <w:pPr>
              <w:jc w:val="right"/>
              <w:rPr>
                <w:rFonts w:cstheme="minorHAnsi"/>
                <w:sz w:val="18"/>
                <w:szCs w:val="18"/>
              </w:rPr>
            </w:pPr>
            <w:r w:rsidRPr="002812B0">
              <w:rPr>
                <w:rFonts w:cstheme="minorHAnsi"/>
                <w:sz w:val="18"/>
                <w:szCs w:val="18"/>
              </w:rPr>
              <w:t>7.15</w:t>
            </w:r>
          </w:p>
        </w:tc>
        <w:tc>
          <w:tcPr>
            <w:tcW w:w="851" w:type="dxa"/>
            <w:gridSpan w:val="2"/>
            <w:tcBorders>
              <w:top w:val="nil"/>
              <w:left w:val="nil"/>
              <w:bottom w:val="nil"/>
              <w:right w:val="nil"/>
            </w:tcBorders>
            <w:shd w:val="clear" w:color="auto" w:fill="auto"/>
            <w:noWrap/>
            <w:vAlign w:val="bottom"/>
            <w:hideMark/>
          </w:tcPr>
          <w:p w14:paraId="79B48575" w14:textId="77777777" w:rsidR="004337E6" w:rsidRPr="002812B0" w:rsidRDefault="004337E6" w:rsidP="008975E4">
            <w:pPr>
              <w:jc w:val="right"/>
              <w:rPr>
                <w:rFonts w:cstheme="minorHAnsi"/>
                <w:b/>
                <w:bCs/>
                <w:sz w:val="18"/>
                <w:szCs w:val="18"/>
              </w:rPr>
            </w:pPr>
            <w:r w:rsidRPr="002812B0">
              <w:rPr>
                <w:rFonts w:cstheme="minorHAnsi"/>
                <w:b/>
                <w:bCs/>
                <w:sz w:val="18"/>
                <w:szCs w:val="18"/>
              </w:rPr>
              <w:t>90.30</w:t>
            </w:r>
          </w:p>
        </w:tc>
        <w:tc>
          <w:tcPr>
            <w:tcW w:w="709" w:type="dxa"/>
            <w:gridSpan w:val="2"/>
            <w:tcBorders>
              <w:top w:val="nil"/>
              <w:left w:val="nil"/>
              <w:bottom w:val="nil"/>
              <w:right w:val="nil"/>
            </w:tcBorders>
            <w:shd w:val="clear" w:color="auto" w:fill="auto"/>
            <w:noWrap/>
            <w:vAlign w:val="bottom"/>
            <w:hideMark/>
          </w:tcPr>
          <w:p w14:paraId="1D70C075" w14:textId="77777777" w:rsidR="004337E6" w:rsidRPr="002812B0" w:rsidRDefault="004337E6" w:rsidP="008975E4">
            <w:pPr>
              <w:jc w:val="right"/>
              <w:rPr>
                <w:rFonts w:cstheme="minorHAnsi"/>
                <w:sz w:val="18"/>
                <w:szCs w:val="18"/>
              </w:rPr>
            </w:pPr>
            <w:r w:rsidRPr="002812B0">
              <w:rPr>
                <w:rFonts w:cstheme="minorHAnsi"/>
                <w:sz w:val="18"/>
                <w:szCs w:val="18"/>
              </w:rPr>
              <w:t>0.79</w:t>
            </w:r>
          </w:p>
        </w:tc>
        <w:tc>
          <w:tcPr>
            <w:tcW w:w="817" w:type="dxa"/>
            <w:gridSpan w:val="2"/>
            <w:tcBorders>
              <w:top w:val="nil"/>
              <w:left w:val="nil"/>
              <w:bottom w:val="nil"/>
              <w:right w:val="nil"/>
            </w:tcBorders>
            <w:shd w:val="clear" w:color="auto" w:fill="auto"/>
            <w:noWrap/>
            <w:vAlign w:val="bottom"/>
            <w:hideMark/>
          </w:tcPr>
          <w:p w14:paraId="09941203" w14:textId="77777777" w:rsidR="004337E6" w:rsidRPr="002812B0" w:rsidRDefault="004337E6" w:rsidP="008975E4">
            <w:pPr>
              <w:jc w:val="right"/>
              <w:rPr>
                <w:rFonts w:cstheme="minorHAnsi"/>
                <w:sz w:val="18"/>
                <w:szCs w:val="18"/>
              </w:rPr>
            </w:pPr>
            <w:r w:rsidRPr="002812B0">
              <w:rPr>
                <w:rFonts w:cstheme="minorHAnsi"/>
                <w:sz w:val="18"/>
                <w:szCs w:val="18"/>
              </w:rPr>
              <w:t>3.02</w:t>
            </w:r>
          </w:p>
        </w:tc>
        <w:tc>
          <w:tcPr>
            <w:tcW w:w="659" w:type="dxa"/>
            <w:tcBorders>
              <w:top w:val="nil"/>
              <w:left w:val="nil"/>
              <w:bottom w:val="nil"/>
              <w:right w:val="nil"/>
            </w:tcBorders>
            <w:shd w:val="clear" w:color="auto" w:fill="auto"/>
            <w:noWrap/>
            <w:vAlign w:val="bottom"/>
            <w:hideMark/>
          </w:tcPr>
          <w:p w14:paraId="1083B7D6" w14:textId="77777777" w:rsidR="004337E6" w:rsidRPr="002812B0" w:rsidRDefault="004337E6" w:rsidP="008975E4">
            <w:pPr>
              <w:jc w:val="right"/>
              <w:rPr>
                <w:rFonts w:cstheme="minorHAnsi"/>
                <w:sz w:val="18"/>
                <w:szCs w:val="18"/>
              </w:rPr>
            </w:pPr>
            <w:r w:rsidRPr="002812B0">
              <w:rPr>
                <w:rFonts w:cstheme="minorHAnsi"/>
                <w:sz w:val="18"/>
                <w:szCs w:val="18"/>
              </w:rPr>
              <w:t>5.56</w:t>
            </w:r>
          </w:p>
        </w:tc>
        <w:tc>
          <w:tcPr>
            <w:tcW w:w="933" w:type="dxa"/>
            <w:gridSpan w:val="2"/>
            <w:tcBorders>
              <w:top w:val="nil"/>
              <w:left w:val="nil"/>
              <w:bottom w:val="nil"/>
              <w:right w:val="nil"/>
            </w:tcBorders>
            <w:shd w:val="clear" w:color="auto" w:fill="auto"/>
            <w:noWrap/>
            <w:vAlign w:val="bottom"/>
            <w:hideMark/>
          </w:tcPr>
          <w:p w14:paraId="28304FCE" w14:textId="77777777" w:rsidR="004337E6" w:rsidRPr="002812B0" w:rsidRDefault="004337E6" w:rsidP="008975E4">
            <w:pPr>
              <w:jc w:val="right"/>
              <w:rPr>
                <w:rFonts w:cstheme="minorHAnsi"/>
                <w:b/>
                <w:bCs/>
                <w:sz w:val="18"/>
                <w:szCs w:val="18"/>
              </w:rPr>
            </w:pPr>
            <w:r w:rsidRPr="002812B0">
              <w:rPr>
                <w:rFonts w:cstheme="minorHAnsi"/>
                <w:b/>
                <w:bCs/>
                <w:sz w:val="18"/>
                <w:szCs w:val="18"/>
              </w:rPr>
              <w:t>9.37</w:t>
            </w:r>
          </w:p>
        </w:tc>
        <w:tc>
          <w:tcPr>
            <w:tcW w:w="709" w:type="dxa"/>
            <w:tcBorders>
              <w:top w:val="nil"/>
              <w:left w:val="nil"/>
              <w:bottom w:val="nil"/>
              <w:right w:val="single" w:sz="4" w:space="0" w:color="auto"/>
            </w:tcBorders>
            <w:shd w:val="clear" w:color="auto" w:fill="auto"/>
            <w:noWrap/>
            <w:vAlign w:val="bottom"/>
            <w:hideMark/>
          </w:tcPr>
          <w:p w14:paraId="60725B1D" w14:textId="77777777" w:rsidR="004337E6" w:rsidRPr="002812B0" w:rsidRDefault="004337E6" w:rsidP="008975E4">
            <w:pPr>
              <w:jc w:val="right"/>
              <w:rPr>
                <w:rFonts w:cstheme="minorHAnsi"/>
                <w:sz w:val="18"/>
                <w:szCs w:val="18"/>
              </w:rPr>
            </w:pPr>
            <w:r w:rsidRPr="002812B0">
              <w:rPr>
                <w:rFonts w:cstheme="minorHAnsi"/>
                <w:sz w:val="18"/>
                <w:szCs w:val="18"/>
              </w:rPr>
              <w:t>0.32</w:t>
            </w:r>
          </w:p>
        </w:tc>
        <w:tc>
          <w:tcPr>
            <w:tcW w:w="989" w:type="dxa"/>
            <w:gridSpan w:val="2"/>
            <w:tcBorders>
              <w:top w:val="nil"/>
              <w:left w:val="nil"/>
              <w:bottom w:val="nil"/>
              <w:right w:val="nil"/>
            </w:tcBorders>
            <w:shd w:val="clear" w:color="auto" w:fill="auto"/>
            <w:noWrap/>
            <w:vAlign w:val="center"/>
            <w:hideMark/>
          </w:tcPr>
          <w:p w14:paraId="1E1E5A1A" w14:textId="77777777" w:rsidR="004337E6" w:rsidRPr="002812B0" w:rsidRDefault="004337E6" w:rsidP="008975E4">
            <w:pPr>
              <w:jc w:val="right"/>
              <w:rPr>
                <w:rFonts w:cstheme="minorHAnsi"/>
                <w:sz w:val="18"/>
                <w:szCs w:val="18"/>
              </w:rPr>
            </w:pPr>
            <w:r w:rsidRPr="002812B0">
              <w:rPr>
                <w:rFonts w:cstheme="minorHAnsi"/>
                <w:sz w:val="18"/>
                <w:szCs w:val="18"/>
              </w:rPr>
              <w:t>86.93</w:t>
            </w:r>
          </w:p>
        </w:tc>
        <w:tc>
          <w:tcPr>
            <w:tcW w:w="894" w:type="dxa"/>
            <w:gridSpan w:val="2"/>
            <w:tcBorders>
              <w:top w:val="nil"/>
              <w:left w:val="nil"/>
              <w:bottom w:val="nil"/>
              <w:right w:val="nil"/>
            </w:tcBorders>
            <w:shd w:val="clear" w:color="auto" w:fill="auto"/>
            <w:noWrap/>
            <w:vAlign w:val="center"/>
            <w:hideMark/>
          </w:tcPr>
          <w:p w14:paraId="0D7366DF" w14:textId="77777777" w:rsidR="004337E6" w:rsidRPr="002812B0" w:rsidRDefault="004337E6" w:rsidP="008975E4">
            <w:pPr>
              <w:jc w:val="right"/>
              <w:rPr>
                <w:rFonts w:cstheme="minorHAnsi"/>
                <w:sz w:val="18"/>
                <w:szCs w:val="18"/>
              </w:rPr>
            </w:pPr>
            <w:r w:rsidRPr="002812B0">
              <w:rPr>
                <w:rFonts w:cstheme="minorHAnsi"/>
                <w:sz w:val="18"/>
                <w:szCs w:val="18"/>
              </w:rPr>
              <w:t>6.44</w:t>
            </w:r>
          </w:p>
        </w:tc>
        <w:tc>
          <w:tcPr>
            <w:tcW w:w="690" w:type="dxa"/>
            <w:gridSpan w:val="2"/>
            <w:tcBorders>
              <w:top w:val="nil"/>
              <w:left w:val="nil"/>
              <w:bottom w:val="nil"/>
              <w:right w:val="nil"/>
            </w:tcBorders>
            <w:shd w:val="clear" w:color="auto" w:fill="auto"/>
            <w:noWrap/>
            <w:vAlign w:val="center"/>
            <w:hideMark/>
          </w:tcPr>
          <w:p w14:paraId="1F3E412C" w14:textId="77777777" w:rsidR="004337E6" w:rsidRPr="002812B0" w:rsidRDefault="004337E6" w:rsidP="008975E4">
            <w:pPr>
              <w:jc w:val="right"/>
              <w:rPr>
                <w:rFonts w:cstheme="minorHAnsi"/>
                <w:b/>
                <w:bCs/>
                <w:sz w:val="18"/>
                <w:szCs w:val="18"/>
              </w:rPr>
            </w:pPr>
            <w:r w:rsidRPr="002812B0">
              <w:rPr>
                <w:rFonts w:cstheme="minorHAnsi"/>
                <w:b/>
                <w:bCs/>
                <w:sz w:val="18"/>
                <w:szCs w:val="18"/>
              </w:rPr>
              <w:t>93.37</w:t>
            </w:r>
          </w:p>
        </w:tc>
        <w:tc>
          <w:tcPr>
            <w:tcW w:w="974" w:type="dxa"/>
            <w:gridSpan w:val="2"/>
            <w:tcBorders>
              <w:top w:val="nil"/>
              <w:left w:val="nil"/>
              <w:bottom w:val="nil"/>
              <w:right w:val="nil"/>
            </w:tcBorders>
            <w:shd w:val="clear" w:color="auto" w:fill="auto"/>
            <w:noWrap/>
            <w:vAlign w:val="center"/>
            <w:hideMark/>
          </w:tcPr>
          <w:p w14:paraId="3256E564" w14:textId="77777777" w:rsidR="004337E6" w:rsidRPr="002812B0" w:rsidRDefault="004337E6" w:rsidP="008975E4">
            <w:pPr>
              <w:jc w:val="right"/>
              <w:rPr>
                <w:rFonts w:cstheme="minorHAnsi"/>
                <w:sz w:val="18"/>
                <w:szCs w:val="18"/>
              </w:rPr>
            </w:pPr>
            <w:r w:rsidRPr="002812B0">
              <w:rPr>
                <w:rFonts w:cstheme="minorHAnsi"/>
                <w:sz w:val="18"/>
                <w:szCs w:val="18"/>
              </w:rPr>
              <w:t>2.27</w:t>
            </w:r>
          </w:p>
        </w:tc>
        <w:tc>
          <w:tcPr>
            <w:tcW w:w="894" w:type="dxa"/>
            <w:gridSpan w:val="2"/>
            <w:tcBorders>
              <w:top w:val="nil"/>
              <w:left w:val="nil"/>
              <w:bottom w:val="nil"/>
              <w:right w:val="nil"/>
            </w:tcBorders>
            <w:shd w:val="clear" w:color="auto" w:fill="auto"/>
            <w:noWrap/>
            <w:vAlign w:val="center"/>
            <w:hideMark/>
          </w:tcPr>
          <w:p w14:paraId="4AAAEDD7" w14:textId="77777777" w:rsidR="004337E6" w:rsidRPr="002812B0" w:rsidRDefault="004337E6" w:rsidP="008975E4">
            <w:pPr>
              <w:jc w:val="right"/>
              <w:rPr>
                <w:rFonts w:cstheme="minorHAnsi"/>
                <w:sz w:val="18"/>
                <w:szCs w:val="18"/>
              </w:rPr>
            </w:pPr>
            <w:r w:rsidRPr="002812B0">
              <w:rPr>
                <w:rFonts w:cstheme="minorHAnsi"/>
                <w:sz w:val="18"/>
                <w:szCs w:val="18"/>
              </w:rPr>
              <w:t>1.52</w:t>
            </w:r>
          </w:p>
        </w:tc>
        <w:tc>
          <w:tcPr>
            <w:tcW w:w="659" w:type="dxa"/>
            <w:gridSpan w:val="2"/>
            <w:tcBorders>
              <w:top w:val="nil"/>
              <w:left w:val="nil"/>
              <w:bottom w:val="nil"/>
              <w:right w:val="nil"/>
            </w:tcBorders>
            <w:shd w:val="clear" w:color="auto" w:fill="auto"/>
            <w:noWrap/>
            <w:vAlign w:val="center"/>
            <w:hideMark/>
          </w:tcPr>
          <w:p w14:paraId="1A733A02" w14:textId="77777777" w:rsidR="004337E6" w:rsidRPr="002812B0" w:rsidRDefault="004337E6" w:rsidP="008975E4">
            <w:pPr>
              <w:jc w:val="right"/>
              <w:rPr>
                <w:rFonts w:cstheme="minorHAnsi"/>
                <w:sz w:val="18"/>
                <w:szCs w:val="18"/>
              </w:rPr>
            </w:pPr>
            <w:r w:rsidRPr="002812B0">
              <w:rPr>
                <w:rFonts w:cstheme="minorHAnsi"/>
                <w:sz w:val="18"/>
                <w:szCs w:val="18"/>
              </w:rPr>
              <w:t>2.65</w:t>
            </w:r>
          </w:p>
        </w:tc>
        <w:tc>
          <w:tcPr>
            <w:tcW w:w="854" w:type="dxa"/>
            <w:tcBorders>
              <w:top w:val="nil"/>
              <w:left w:val="nil"/>
              <w:bottom w:val="nil"/>
              <w:right w:val="nil"/>
            </w:tcBorders>
            <w:shd w:val="clear" w:color="auto" w:fill="auto"/>
            <w:noWrap/>
            <w:vAlign w:val="center"/>
            <w:hideMark/>
          </w:tcPr>
          <w:p w14:paraId="51851D97" w14:textId="77777777" w:rsidR="004337E6" w:rsidRPr="002812B0" w:rsidRDefault="004337E6" w:rsidP="008975E4">
            <w:pPr>
              <w:jc w:val="right"/>
              <w:rPr>
                <w:rFonts w:cstheme="minorHAnsi"/>
                <w:b/>
                <w:bCs/>
                <w:sz w:val="18"/>
                <w:szCs w:val="18"/>
              </w:rPr>
            </w:pPr>
            <w:r w:rsidRPr="002812B0">
              <w:rPr>
                <w:rFonts w:cstheme="minorHAnsi"/>
                <w:b/>
                <w:bCs/>
                <w:sz w:val="18"/>
                <w:szCs w:val="18"/>
              </w:rPr>
              <w:t>6.44</w:t>
            </w:r>
          </w:p>
        </w:tc>
        <w:tc>
          <w:tcPr>
            <w:tcW w:w="792" w:type="dxa"/>
            <w:tcBorders>
              <w:top w:val="nil"/>
              <w:left w:val="nil"/>
              <w:bottom w:val="nil"/>
              <w:right w:val="single" w:sz="4" w:space="0" w:color="auto"/>
            </w:tcBorders>
            <w:shd w:val="clear" w:color="auto" w:fill="auto"/>
            <w:noWrap/>
            <w:vAlign w:val="center"/>
            <w:hideMark/>
          </w:tcPr>
          <w:p w14:paraId="7ACD12E7" w14:textId="77777777" w:rsidR="004337E6" w:rsidRPr="002812B0" w:rsidRDefault="004337E6" w:rsidP="008975E4">
            <w:pPr>
              <w:jc w:val="right"/>
              <w:rPr>
                <w:rFonts w:cstheme="minorHAnsi"/>
                <w:sz w:val="18"/>
                <w:szCs w:val="18"/>
              </w:rPr>
            </w:pPr>
            <w:r w:rsidRPr="002812B0">
              <w:rPr>
                <w:rFonts w:cstheme="minorHAnsi"/>
                <w:sz w:val="18"/>
                <w:szCs w:val="18"/>
              </w:rPr>
              <w:t>0.19</w:t>
            </w:r>
          </w:p>
        </w:tc>
      </w:tr>
      <w:tr w:rsidR="004337E6" w:rsidRPr="002812B0" w14:paraId="69FE2114" w14:textId="77777777" w:rsidTr="008975E4">
        <w:trPr>
          <w:trHeight w:hRule="exact" w:val="284"/>
        </w:trPr>
        <w:tc>
          <w:tcPr>
            <w:tcW w:w="1452" w:type="dxa"/>
            <w:tcBorders>
              <w:top w:val="nil"/>
              <w:left w:val="single" w:sz="4" w:space="0" w:color="auto"/>
              <w:bottom w:val="nil"/>
              <w:right w:val="single" w:sz="4" w:space="0" w:color="auto"/>
            </w:tcBorders>
            <w:shd w:val="clear" w:color="auto" w:fill="auto"/>
            <w:noWrap/>
            <w:vAlign w:val="bottom"/>
            <w:hideMark/>
          </w:tcPr>
          <w:p w14:paraId="4A2AD583" w14:textId="77777777" w:rsidR="004337E6" w:rsidRPr="002812B0" w:rsidRDefault="004337E6" w:rsidP="008975E4">
            <w:pPr>
              <w:rPr>
                <w:rFonts w:cstheme="minorHAnsi"/>
                <w:sz w:val="18"/>
                <w:szCs w:val="18"/>
              </w:rPr>
            </w:pPr>
            <w:r w:rsidRPr="002812B0">
              <w:rPr>
                <w:rFonts w:cstheme="minorHAnsi"/>
                <w:sz w:val="18"/>
                <w:szCs w:val="18"/>
              </w:rPr>
              <w:t>Romania</w:t>
            </w:r>
          </w:p>
        </w:tc>
        <w:tc>
          <w:tcPr>
            <w:tcW w:w="425" w:type="dxa"/>
            <w:tcBorders>
              <w:top w:val="nil"/>
              <w:left w:val="nil"/>
              <w:bottom w:val="nil"/>
              <w:right w:val="nil"/>
            </w:tcBorders>
            <w:shd w:val="clear" w:color="auto" w:fill="auto"/>
            <w:noWrap/>
            <w:vAlign w:val="bottom"/>
            <w:hideMark/>
          </w:tcPr>
          <w:p w14:paraId="684DD71B" w14:textId="77777777" w:rsidR="004337E6" w:rsidRPr="002812B0" w:rsidRDefault="004337E6" w:rsidP="008975E4">
            <w:pPr>
              <w:ind w:right="-111"/>
              <w:jc w:val="left"/>
              <w:rPr>
                <w:rFonts w:cstheme="minorHAnsi"/>
                <w:sz w:val="18"/>
                <w:szCs w:val="18"/>
              </w:rPr>
            </w:pPr>
            <w:r w:rsidRPr="002812B0">
              <w:rPr>
                <w:rFonts w:cstheme="minorHAnsi"/>
                <w:sz w:val="18"/>
                <w:szCs w:val="18"/>
              </w:rPr>
              <w:t>RO</w:t>
            </w:r>
          </w:p>
        </w:tc>
        <w:tc>
          <w:tcPr>
            <w:tcW w:w="992" w:type="dxa"/>
            <w:gridSpan w:val="2"/>
            <w:tcBorders>
              <w:top w:val="nil"/>
              <w:left w:val="single" w:sz="4" w:space="0" w:color="auto"/>
              <w:bottom w:val="nil"/>
              <w:right w:val="nil"/>
            </w:tcBorders>
            <w:shd w:val="clear" w:color="auto" w:fill="auto"/>
            <w:noWrap/>
            <w:vAlign w:val="bottom"/>
            <w:hideMark/>
          </w:tcPr>
          <w:p w14:paraId="0D4222D1" w14:textId="77777777" w:rsidR="004337E6" w:rsidRPr="002812B0" w:rsidRDefault="004337E6" w:rsidP="008975E4">
            <w:pPr>
              <w:jc w:val="right"/>
              <w:rPr>
                <w:rFonts w:cstheme="minorHAnsi"/>
                <w:sz w:val="18"/>
                <w:szCs w:val="18"/>
              </w:rPr>
            </w:pPr>
            <w:r w:rsidRPr="002812B0">
              <w:rPr>
                <w:rFonts w:cstheme="minorHAnsi"/>
                <w:sz w:val="18"/>
                <w:szCs w:val="18"/>
              </w:rPr>
              <w:t>80.37</w:t>
            </w:r>
          </w:p>
        </w:tc>
        <w:tc>
          <w:tcPr>
            <w:tcW w:w="992" w:type="dxa"/>
            <w:gridSpan w:val="2"/>
            <w:tcBorders>
              <w:top w:val="nil"/>
              <w:left w:val="nil"/>
              <w:bottom w:val="nil"/>
              <w:right w:val="nil"/>
            </w:tcBorders>
            <w:shd w:val="clear" w:color="auto" w:fill="auto"/>
            <w:noWrap/>
            <w:vAlign w:val="bottom"/>
            <w:hideMark/>
          </w:tcPr>
          <w:p w14:paraId="3D3E7701" w14:textId="77777777" w:rsidR="004337E6" w:rsidRPr="002812B0" w:rsidRDefault="004337E6" w:rsidP="008975E4">
            <w:pPr>
              <w:jc w:val="right"/>
              <w:rPr>
                <w:rFonts w:cstheme="minorHAnsi"/>
                <w:sz w:val="18"/>
                <w:szCs w:val="18"/>
              </w:rPr>
            </w:pPr>
            <w:r w:rsidRPr="002812B0">
              <w:rPr>
                <w:rFonts w:cstheme="minorHAnsi"/>
                <w:sz w:val="18"/>
                <w:szCs w:val="18"/>
              </w:rPr>
              <w:t>13.86</w:t>
            </w:r>
          </w:p>
        </w:tc>
        <w:tc>
          <w:tcPr>
            <w:tcW w:w="851" w:type="dxa"/>
            <w:gridSpan w:val="2"/>
            <w:tcBorders>
              <w:top w:val="nil"/>
              <w:left w:val="nil"/>
              <w:bottom w:val="nil"/>
              <w:right w:val="nil"/>
            </w:tcBorders>
            <w:shd w:val="clear" w:color="auto" w:fill="auto"/>
            <w:noWrap/>
            <w:vAlign w:val="bottom"/>
            <w:hideMark/>
          </w:tcPr>
          <w:p w14:paraId="20683B5B" w14:textId="77777777" w:rsidR="004337E6" w:rsidRPr="002812B0" w:rsidRDefault="004337E6" w:rsidP="008975E4">
            <w:pPr>
              <w:jc w:val="right"/>
              <w:rPr>
                <w:rFonts w:cstheme="minorHAnsi"/>
                <w:b/>
                <w:bCs/>
                <w:sz w:val="18"/>
                <w:szCs w:val="18"/>
              </w:rPr>
            </w:pPr>
            <w:r w:rsidRPr="002812B0">
              <w:rPr>
                <w:rFonts w:cstheme="minorHAnsi"/>
                <w:b/>
                <w:bCs/>
                <w:sz w:val="18"/>
                <w:szCs w:val="18"/>
              </w:rPr>
              <w:t>94.23</w:t>
            </w:r>
          </w:p>
        </w:tc>
        <w:tc>
          <w:tcPr>
            <w:tcW w:w="709" w:type="dxa"/>
            <w:gridSpan w:val="2"/>
            <w:tcBorders>
              <w:top w:val="nil"/>
              <w:left w:val="nil"/>
              <w:bottom w:val="nil"/>
              <w:right w:val="nil"/>
            </w:tcBorders>
            <w:shd w:val="clear" w:color="auto" w:fill="auto"/>
            <w:noWrap/>
            <w:vAlign w:val="bottom"/>
            <w:hideMark/>
          </w:tcPr>
          <w:p w14:paraId="59B9CB4D" w14:textId="77777777" w:rsidR="004337E6" w:rsidRPr="002812B0" w:rsidRDefault="004337E6" w:rsidP="008975E4">
            <w:pPr>
              <w:jc w:val="right"/>
              <w:rPr>
                <w:rFonts w:cstheme="minorHAnsi"/>
                <w:sz w:val="18"/>
                <w:szCs w:val="18"/>
              </w:rPr>
            </w:pPr>
            <w:r w:rsidRPr="002812B0">
              <w:rPr>
                <w:rFonts w:cstheme="minorHAnsi"/>
                <w:sz w:val="18"/>
                <w:szCs w:val="18"/>
              </w:rPr>
              <w:t>2.80</w:t>
            </w:r>
          </w:p>
        </w:tc>
        <w:tc>
          <w:tcPr>
            <w:tcW w:w="817" w:type="dxa"/>
            <w:gridSpan w:val="2"/>
            <w:tcBorders>
              <w:top w:val="nil"/>
              <w:left w:val="nil"/>
              <w:bottom w:val="nil"/>
              <w:right w:val="nil"/>
            </w:tcBorders>
            <w:shd w:val="clear" w:color="auto" w:fill="auto"/>
            <w:noWrap/>
            <w:vAlign w:val="bottom"/>
            <w:hideMark/>
          </w:tcPr>
          <w:p w14:paraId="47B9407C" w14:textId="77777777" w:rsidR="004337E6" w:rsidRPr="002812B0" w:rsidRDefault="004337E6" w:rsidP="008975E4">
            <w:pPr>
              <w:jc w:val="right"/>
              <w:rPr>
                <w:rFonts w:cstheme="minorHAnsi"/>
                <w:sz w:val="18"/>
                <w:szCs w:val="18"/>
              </w:rPr>
            </w:pPr>
            <w:r w:rsidRPr="002812B0">
              <w:rPr>
                <w:rFonts w:cstheme="minorHAnsi"/>
                <w:sz w:val="18"/>
                <w:szCs w:val="18"/>
              </w:rPr>
              <w:t>1.87</w:t>
            </w:r>
          </w:p>
        </w:tc>
        <w:tc>
          <w:tcPr>
            <w:tcW w:w="659" w:type="dxa"/>
            <w:tcBorders>
              <w:top w:val="nil"/>
              <w:left w:val="nil"/>
              <w:bottom w:val="nil"/>
              <w:right w:val="nil"/>
            </w:tcBorders>
            <w:shd w:val="clear" w:color="auto" w:fill="auto"/>
            <w:noWrap/>
            <w:vAlign w:val="bottom"/>
            <w:hideMark/>
          </w:tcPr>
          <w:p w14:paraId="28EBA406" w14:textId="77777777" w:rsidR="004337E6" w:rsidRPr="002812B0" w:rsidRDefault="004337E6" w:rsidP="008975E4">
            <w:pPr>
              <w:jc w:val="right"/>
              <w:rPr>
                <w:rFonts w:cstheme="minorHAnsi"/>
                <w:sz w:val="18"/>
                <w:szCs w:val="18"/>
              </w:rPr>
            </w:pPr>
            <w:r w:rsidRPr="002812B0">
              <w:rPr>
                <w:rFonts w:cstheme="minorHAnsi"/>
                <w:sz w:val="18"/>
                <w:szCs w:val="18"/>
              </w:rPr>
              <w:t>0.78</w:t>
            </w:r>
          </w:p>
        </w:tc>
        <w:tc>
          <w:tcPr>
            <w:tcW w:w="933" w:type="dxa"/>
            <w:gridSpan w:val="2"/>
            <w:tcBorders>
              <w:top w:val="nil"/>
              <w:left w:val="nil"/>
              <w:bottom w:val="nil"/>
              <w:right w:val="nil"/>
            </w:tcBorders>
            <w:shd w:val="clear" w:color="auto" w:fill="auto"/>
            <w:noWrap/>
            <w:vAlign w:val="bottom"/>
            <w:hideMark/>
          </w:tcPr>
          <w:p w14:paraId="73003EE3" w14:textId="77777777" w:rsidR="004337E6" w:rsidRPr="002812B0" w:rsidRDefault="004337E6" w:rsidP="008975E4">
            <w:pPr>
              <w:jc w:val="right"/>
              <w:rPr>
                <w:rFonts w:cstheme="minorHAnsi"/>
                <w:b/>
                <w:bCs/>
                <w:sz w:val="18"/>
                <w:szCs w:val="18"/>
              </w:rPr>
            </w:pPr>
            <w:r w:rsidRPr="002812B0">
              <w:rPr>
                <w:rFonts w:cstheme="minorHAnsi"/>
                <w:b/>
                <w:bCs/>
                <w:sz w:val="18"/>
                <w:szCs w:val="18"/>
              </w:rPr>
              <w:t>5.45</w:t>
            </w:r>
          </w:p>
        </w:tc>
        <w:tc>
          <w:tcPr>
            <w:tcW w:w="709" w:type="dxa"/>
            <w:tcBorders>
              <w:top w:val="nil"/>
              <w:left w:val="nil"/>
              <w:bottom w:val="nil"/>
              <w:right w:val="single" w:sz="4" w:space="0" w:color="auto"/>
            </w:tcBorders>
            <w:shd w:val="clear" w:color="auto" w:fill="auto"/>
            <w:noWrap/>
            <w:vAlign w:val="bottom"/>
            <w:hideMark/>
          </w:tcPr>
          <w:p w14:paraId="6B7979F5" w14:textId="77777777" w:rsidR="004337E6" w:rsidRPr="002812B0" w:rsidRDefault="004337E6" w:rsidP="008975E4">
            <w:pPr>
              <w:jc w:val="right"/>
              <w:rPr>
                <w:rFonts w:cstheme="minorHAnsi"/>
                <w:sz w:val="18"/>
                <w:szCs w:val="18"/>
              </w:rPr>
            </w:pPr>
            <w:r w:rsidRPr="002812B0">
              <w:rPr>
                <w:rFonts w:cstheme="minorHAnsi"/>
                <w:sz w:val="18"/>
                <w:szCs w:val="18"/>
              </w:rPr>
              <w:t>0.31</w:t>
            </w:r>
          </w:p>
        </w:tc>
        <w:tc>
          <w:tcPr>
            <w:tcW w:w="989" w:type="dxa"/>
            <w:gridSpan w:val="2"/>
            <w:tcBorders>
              <w:top w:val="nil"/>
              <w:left w:val="nil"/>
              <w:bottom w:val="nil"/>
              <w:right w:val="nil"/>
            </w:tcBorders>
            <w:shd w:val="clear" w:color="auto" w:fill="auto"/>
            <w:noWrap/>
            <w:vAlign w:val="center"/>
            <w:hideMark/>
          </w:tcPr>
          <w:p w14:paraId="2E4890A2" w14:textId="77777777" w:rsidR="004337E6" w:rsidRPr="002812B0" w:rsidRDefault="004337E6" w:rsidP="008975E4">
            <w:pPr>
              <w:jc w:val="right"/>
              <w:rPr>
                <w:rFonts w:cstheme="minorHAnsi"/>
                <w:sz w:val="18"/>
                <w:szCs w:val="18"/>
              </w:rPr>
            </w:pPr>
            <w:r w:rsidRPr="002812B0">
              <w:rPr>
                <w:rFonts w:cstheme="minorHAnsi"/>
                <w:sz w:val="18"/>
                <w:szCs w:val="18"/>
              </w:rPr>
              <w:t>78.18</w:t>
            </w:r>
          </w:p>
        </w:tc>
        <w:tc>
          <w:tcPr>
            <w:tcW w:w="894" w:type="dxa"/>
            <w:gridSpan w:val="2"/>
            <w:tcBorders>
              <w:top w:val="nil"/>
              <w:left w:val="nil"/>
              <w:bottom w:val="nil"/>
              <w:right w:val="nil"/>
            </w:tcBorders>
            <w:shd w:val="clear" w:color="auto" w:fill="auto"/>
            <w:noWrap/>
            <w:vAlign w:val="center"/>
            <w:hideMark/>
          </w:tcPr>
          <w:p w14:paraId="30E16E98" w14:textId="77777777" w:rsidR="004337E6" w:rsidRPr="002812B0" w:rsidRDefault="004337E6" w:rsidP="008975E4">
            <w:pPr>
              <w:jc w:val="right"/>
              <w:rPr>
                <w:rFonts w:cstheme="minorHAnsi"/>
                <w:sz w:val="18"/>
                <w:szCs w:val="18"/>
              </w:rPr>
            </w:pPr>
            <w:r w:rsidRPr="002812B0">
              <w:rPr>
                <w:rFonts w:cstheme="minorHAnsi"/>
                <w:sz w:val="18"/>
                <w:szCs w:val="18"/>
              </w:rPr>
              <w:t>5.24</w:t>
            </w:r>
          </w:p>
        </w:tc>
        <w:tc>
          <w:tcPr>
            <w:tcW w:w="690" w:type="dxa"/>
            <w:gridSpan w:val="2"/>
            <w:tcBorders>
              <w:top w:val="nil"/>
              <w:left w:val="nil"/>
              <w:bottom w:val="nil"/>
              <w:right w:val="nil"/>
            </w:tcBorders>
            <w:shd w:val="clear" w:color="auto" w:fill="auto"/>
            <w:noWrap/>
            <w:vAlign w:val="center"/>
            <w:hideMark/>
          </w:tcPr>
          <w:p w14:paraId="535C8B98" w14:textId="77777777" w:rsidR="004337E6" w:rsidRPr="002812B0" w:rsidRDefault="004337E6" w:rsidP="008975E4">
            <w:pPr>
              <w:jc w:val="right"/>
              <w:rPr>
                <w:rFonts w:cstheme="minorHAnsi"/>
                <w:b/>
                <w:bCs/>
                <w:sz w:val="18"/>
                <w:szCs w:val="18"/>
              </w:rPr>
            </w:pPr>
            <w:r w:rsidRPr="002812B0">
              <w:rPr>
                <w:rFonts w:cstheme="minorHAnsi"/>
                <w:b/>
                <w:bCs/>
                <w:sz w:val="18"/>
                <w:szCs w:val="18"/>
              </w:rPr>
              <w:t>83.42</w:t>
            </w:r>
          </w:p>
        </w:tc>
        <w:tc>
          <w:tcPr>
            <w:tcW w:w="974" w:type="dxa"/>
            <w:gridSpan w:val="2"/>
            <w:tcBorders>
              <w:top w:val="nil"/>
              <w:left w:val="nil"/>
              <w:bottom w:val="nil"/>
              <w:right w:val="nil"/>
            </w:tcBorders>
            <w:shd w:val="clear" w:color="auto" w:fill="auto"/>
            <w:noWrap/>
            <w:vAlign w:val="center"/>
            <w:hideMark/>
          </w:tcPr>
          <w:p w14:paraId="20641FE9" w14:textId="77777777" w:rsidR="004337E6" w:rsidRPr="002812B0" w:rsidRDefault="004337E6" w:rsidP="008975E4">
            <w:pPr>
              <w:jc w:val="right"/>
              <w:rPr>
                <w:rFonts w:cstheme="minorHAnsi"/>
                <w:sz w:val="18"/>
                <w:szCs w:val="18"/>
              </w:rPr>
            </w:pPr>
            <w:r w:rsidRPr="002812B0">
              <w:rPr>
                <w:rFonts w:cstheme="minorHAnsi"/>
                <w:sz w:val="18"/>
                <w:szCs w:val="18"/>
              </w:rPr>
              <w:t>6.52</w:t>
            </w:r>
          </w:p>
        </w:tc>
        <w:tc>
          <w:tcPr>
            <w:tcW w:w="894" w:type="dxa"/>
            <w:gridSpan w:val="2"/>
            <w:tcBorders>
              <w:top w:val="nil"/>
              <w:left w:val="nil"/>
              <w:bottom w:val="nil"/>
              <w:right w:val="nil"/>
            </w:tcBorders>
            <w:shd w:val="clear" w:color="auto" w:fill="auto"/>
            <w:noWrap/>
            <w:vAlign w:val="center"/>
            <w:hideMark/>
          </w:tcPr>
          <w:p w14:paraId="3C28F161" w14:textId="77777777" w:rsidR="004337E6" w:rsidRPr="002812B0" w:rsidRDefault="004337E6" w:rsidP="008975E4">
            <w:pPr>
              <w:jc w:val="right"/>
              <w:rPr>
                <w:rFonts w:cstheme="minorHAnsi"/>
                <w:sz w:val="18"/>
                <w:szCs w:val="18"/>
              </w:rPr>
            </w:pPr>
            <w:r w:rsidRPr="002812B0">
              <w:rPr>
                <w:rFonts w:cstheme="minorHAnsi"/>
                <w:sz w:val="18"/>
                <w:szCs w:val="18"/>
              </w:rPr>
              <w:t>9.30</w:t>
            </w:r>
          </w:p>
        </w:tc>
        <w:tc>
          <w:tcPr>
            <w:tcW w:w="659" w:type="dxa"/>
            <w:gridSpan w:val="2"/>
            <w:tcBorders>
              <w:top w:val="nil"/>
              <w:left w:val="nil"/>
              <w:bottom w:val="nil"/>
              <w:right w:val="nil"/>
            </w:tcBorders>
            <w:shd w:val="clear" w:color="auto" w:fill="auto"/>
            <w:noWrap/>
            <w:vAlign w:val="center"/>
            <w:hideMark/>
          </w:tcPr>
          <w:p w14:paraId="09C0F7E0" w14:textId="77777777" w:rsidR="004337E6" w:rsidRPr="002812B0" w:rsidRDefault="004337E6" w:rsidP="008975E4">
            <w:pPr>
              <w:jc w:val="right"/>
              <w:rPr>
                <w:rFonts w:cstheme="minorHAnsi"/>
                <w:sz w:val="18"/>
                <w:szCs w:val="18"/>
              </w:rPr>
            </w:pPr>
            <w:r w:rsidRPr="002812B0">
              <w:rPr>
                <w:rFonts w:cstheme="minorHAnsi"/>
                <w:sz w:val="18"/>
                <w:szCs w:val="18"/>
              </w:rPr>
              <w:t>0.64</w:t>
            </w:r>
          </w:p>
        </w:tc>
        <w:tc>
          <w:tcPr>
            <w:tcW w:w="854" w:type="dxa"/>
            <w:tcBorders>
              <w:top w:val="nil"/>
              <w:left w:val="nil"/>
              <w:bottom w:val="nil"/>
              <w:right w:val="nil"/>
            </w:tcBorders>
            <w:shd w:val="clear" w:color="auto" w:fill="auto"/>
            <w:noWrap/>
            <w:vAlign w:val="center"/>
            <w:hideMark/>
          </w:tcPr>
          <w:p w14:paraId="4AF1F37D" w14:textId="77777777" w:rsidR="004337E6" w:rsidRPr="002812B0" w:rsidRDefault="004337E6" w:rsidP="008975E4">
            <w:pPr>
              <w:jc w:val="right"/>
              <w:rPr>
                <w:rFonts w:cstheme="minorHAnsi"/>
                <w:b/>
                <w:bCs/>
                <w:sz w:val="18"/>
                <w:szCs w:val="18"/>
              </w:rPr>
            </w:pPr>
            <w:r w:rsidRPr="002812B0">
              <w:rPr>
                <w:rFonts w:cstheme="minorHAnsi"/>
                <w:b/>
                <w:bCs/>
                <w:sz w:val="18"/>
                <w:szCs w:val="18"/>
              </w:rPr>
              <w:t>16.46</w:t>
            </w:r>
          </w:p>
        </w:tc>
        <w:tc>
          <w:tcPr>
            <w:tcW w:w="792" w:type="dxa"/>
            <w:tcBorders>
              <w:top w:val="nil"/>
              <w:left w:val="nil"/>
              <w:bottom w:val="nil"/>
              <w:right w:val="single" w:sz="4" w:space="0" w:color="auto"/>
            </w:tcBorders>
            <w:shd w:val="clear" w:color="auto" w:fill="auto"/>
            <w:noWrap/>
            <w:vAlign w:val="center"/>
            <w:hideMark/>
          </w:tcPr>
          <w:p w14:paraId="3F16D535" w14:textId="77777777" w:rsidR="004337E6" w:rsidRPr="002812B0" w:rsidRDefault="004337E6" w:rsidP="008975E4">
            <w:pPr>
              <w:jc w:val="right"/>
              <w:rPr>
                <w:rFonts w:cstheme="minorHAnsi"/>
                <w:sz w:val="18"/>
                <w:szCs w:val="18"/>
              </w:rPr>
            </w:pPr>
            <w:r w:rsidRPr="002812B0">
              <w:rPr>
                <w:rFonts w:cstheme="minorHAnsi"/>
                <w:sz w:val="18"/>
                <w:szCs w:val="18"/>
              </w:rPr>
              <w:t>0.11</w:t>
            </w:r>
          </w:p>
        </w:tc>
      </w:tr>
      <w:tr w:rsidR="004337E6" w:rsidRPr="002812B0" w14:paraId="7EAC9A1D" w14:textId="77777777" w:rsidTr="008975E4">
        <w:trPr>
          <w:trHeight w:hRule="exact" w:val="284"/>
        </w:trPr>
        <w:tc>
          <w:tcPr>
            <w:tcW w:w="1452" w:type="dxa"/>
            <w:tcBorders>
              <w:top w:val="nil"/>
              <w:left w:val="single" w:sz="4" w:space="0" w:color="auto"/>
              <w:bottom w:val="single" w:sz="4" w:space="0" w:color="auto"/>
              <w:right w:val="single" w:sz="4" w:space="0" w:color="auto"/>
            </w:tcBorders>
            <w:shd w:val="clear" w:color="auto" w:fill="auto"/>
            <w:noWrap/>
            <w:vAlign w:val="bottom"/>
            <w:hideMark/>
          </w:tcPr>
          <w:p w14:paraId="5547D967" w14:textId="77777777" w:rsidR="004337E6" w:rsidRPr="002812B0" w:rsidRDefault="004337E6" w:rsidP="008975E4">
            <w:pPr>
              <w:rPr>
                <w:rFonts w:cstheme="minorHAnsi"/>
                <w:sz w:val="18"/>
                <w:szCs w:val="18"/>
              </w:rPr>
            </w:pPr>
            <w:r w:rsidRPr="002812B0">
              <w:rPr>
                <w:rFonts w:cstheme="minorHAnsi"/>
                <w:sz w:val="18"/>
                <w:szCs w:val="18"/>
              </w:rPr>
              <w:t>Denmark</w:t>
            </w:r>
          </w:p>
        </w:tc>
        <w:tc>
          <w:tcPr>
            <w:tcW w:w="425" w:type="dxa"/>
            <w:tcBorders>
              <w:top w:val="nil"/>
              <w:left w:val="nil"/>
              <w:bottom w:val="single" w:sz="4" w:space="0" w:color="auto"/>
              <w:right w:val="nil"/>
            </w:tcBorders>
            <w:shd w:val="clear" w:color="auto" w:fill="auto"/>
            <w:noWrap/>
            <w:vAlign w:val="bottom"/>
            <w:hideMark/>
          </w:tcPr>
          <w:p w14:paraId="406C15CA" w14:textId="77777777" w:rsidR="004337E6" w:rsidRPr="002812B0" w:rsidRDefault="004337E6" w:rsidP="008975E4">
            <w:pPr>
              <w:ind w:right="-111"/>
              <w:jc w:val="left"/>
              <w:rPr>
                <w:rFonts w:cstheme="minorHAnsi"/>
                <w:sz w:val="18"/>
                <w:szCs w:val="18"/>
              </w:rPr>
            </w:pPr>
            <w:r w:rsidRPr="002812B0">
              <w:rPr>
                <w:rFonts w:cstheme="minorHAnsi"/>
                <w:sz w:val="18"/>
                <w:szCs w:val="18"/>
              </w:rPr>
              <w:t>DK</w:t>
            </w:r>
          </w:p>
        </w:tc>
        <w:tc>
          <w:tcPr>
            <w:tcW w:w="992" w:type="dxa"/>
            <w:gridSpan w:val="2"/>
            <w:tcBorders>
              <w:top w:val="nil"/>
              <w:left w:val="single" w:sz="4" w:space="0" w:color="auto"/>
              <w:bottom w:val="single" w:sz="4" w:space="0" w:color="auto"/>
              <w:right w:val="nil"/>
            </w:tcBorders>
            <w:shd w:val="clear" w:color="auto" w:fill="auto"/>
            <w:noWrap/>
            <w:vAlign w:val="bottom"/>
            <w:hideMark/>
          </w:tcPr>
          <w:p w14:paraId="0D8CCA44" w14:textId="77777777" w:rsidR="004337E6" w:rsidRPr="002812B0" w:rsidRDefault="004337E6" w:rsidP="008975E4">
            <w:pPr>
              <w:jc w:val="right"/>
              <w:rPr>
                <w:rFonts w:cstheme="minorHAnsi"/>
                <w:sz w:val="18"/>
                <w:szCs w:val="18"/>
              </w:rPr>
            </w:pPr>
            <w:r w:rsidRPr="002812B0">
              <w:rPr>
                <w:rFonts w:cstheme="minorHAnsi"/>
                <w:sz w:val="18"/>
                <w:szCs w:val="18"/>
              </w:rPr>
              <w:t>83.85</w:t>
            </w:r>
          </w:p>
        </w:tc>
        <w:tc>
          <w:tcPr>
            <w:tcW w:w="992" w:type="dxa"/>
            <w:gridSpan w:val="2"/>
            <w:tcBorders>
              <w:top w:val="nil"/>
              <w:left w:val="nil"/>
              <w:bottom w:val="single" w:sz="4" w:space="0" w:color="auto"/>
              <w:right w:val="nil"/>
            </w:tcBorders>
            <w:shd w:val="clear" w:color="auto" w:fill="auto"/>
            <w:noWrap/>
            <w:vAlign w:val="bottom"/>
            <w:hideMark/>
          </w:tcPr>
          <w:p w14:paraId="6D384B0C" w14:textId="77777777" w:rsidR="004337E6" w:rsidRPr="002812B0" w:rsidRDefault="004337E6" w:rsidP="008975E4">
            <w:pPr>
              <w:jc w:val="right"/>
              <w:rPr>
                <w:rFonts w:cstheme="minorHAnsi"/>
                <w:sz w:val="18"/>
                <w:szCs w:val="18"/>
              </w:rPr>
            </w:pPr>
            <w:r w:rsidRPr="002812B0">
              <w:rPr>
                <w:rFonts w:cstheme="minorHAnsi"/>
                <w:sz w:val="18"/>
                <w:szCs w:val="18"/>
              </w:rPr>
              <w:t>8.50</w:t>
            </w:r>
          </w:p>
        </w:tc>
        <w:tc>
          <w:tcPr>
            <w:tcW w:w="851" w:type="dxa"/>
            <w:gridSpan w:val="2"/>
            <w:tcBorders>
              <w:top w:val="nil"/>
              <w:left w:val="nil"/>
              <w:bottom w:val="single" w:sz="4" w:space="0" w:color="auto"/>
              <w:right w:val="nil"/>
            </w:tcBorders>
            <w:shd w:val="clear" w:color="auto" w:fill="auto"/>
            <w:noWrap/>
            <w:vAlign w:val="bottom"/>
            <w:hideMark/>
          </w:tcPr>
          <w:p w14:paraId="23A3FBFB" w14:textId="77777777" w:rsidR="004337E6" w:rsidRPr="002812B0" w:rsidRDefault="004337E6" w:rsidP="008975E4">
            <w:pPr>
              <w:jc w:val="right"/>
              <w:rPr>
                <w:rFonts w:cstheme="minorHAnsi"/>
                <w:b/>
                <w:bCs/>
                <w:sz w:val="18"/>
                <w:szCs w:val="18"/>
              </w:rPr>
            </w:pPr>
            <w:r w:rsidRPr="002812B0">
              <w:rPr>
                <w:rFonts w:cstheme="minorHAnsi"/>
                <w:b/>
                <w:bCs/>
                <w:sz w:val="18"/>
                <w:szCs w:val="18"/>
              </w:rPr>
              <w:t>92.35</w:t>
            </w:r>
          </w:p>
        </w:tc>
        <w:tc>
          <w:tcPr>
            <w:tcW w:w="709" w:type="dxa"/>
            <w:gridSpan w:val="2"/>
            <w:tcBorders>
              <w:top w:val="nil"/>
              <w:left w:val="nil"/>
              <w:bottom w:val="single" w:sz="4" w:space="0" w:color="auto"/>
              <w:right w:val="nil"/>
            </w:tcBorders>
            <w:shd w:val="clear" w:color="auto" w:fill="auto"/>
            <w:noWrap/>
            <w:vAlign w:val="bottom"/>
            <w:hideMark/>
          </w:tcPr>
          <w:p w14:paraId="65067FF5" w14:textId="77777777" w:rsidR="004337E6" w:rsidRPr="002812B0" w:rsidRDefault="004337E6" w:rsidP="008975E4">
            <w:pPr>
              <w:jc w:val="right"/>
              <w:rPr>
                <w:rFonts w:cstheme="minorHAnsi"/>
                <w:sz w:val="18"/>
                <w:szCs w:val="18"/>
              </w:rPr>
            </w:pPr>
            <w:r w:rsidRPr="002812B0">
              <w:rPr>
                <w:rFonts w:cstheme="minorHAnsi"/>
                <w:sz w:val="18"/>
                <w:szCs w:val="18"/>
              </w:rPr>
              <w:t>1.70</w:t>
            </w:r>
          </w:p>
        </w:tc>
        <w:tc>
          <w:tcPr>
            <w:tcW w:w="817" w:type="dxa"/>
            <w:gridSpan w:val="2"/>
            <w:tcBorders>
              <w:top w:val="nil"/>
              <w:left w:val="nil"/>
              <w:bottom w:val="single" w:sz="4" w:space="0" w:color="auto"/>
              <w:right w:val="nil"/>
            </w:tcBorders>
            <w:shd w:val="clear" w:color="auto" w:fill="auto"/>
            <w:noWrap/>
            <w:vAlign w:val="bottom"/>
            <w:hideMark/>
          </w:tcPr>
          <w:p w14:paraId="4567C78D" w14:textId="77777777" w:rsidR="004337E6" w:rsidRPr="002812B0" w:rsidRDefault="004337E6" w:rsidP="008975E4">
            <w:pPr>
              <w:jc w:val="right"/>
              <w:rPr>
                <w:rFonts w:cstheme="minorHAnsi"/>
                <w:sz w:val="18"/>
                <w:szCs w:val="18"/>
              </w:rPr>
            </w:pPr>
            <w:r w:rsidRPr="002812B0">
              <w:rPr>
                <w:rFonts w:cstheme="minorHAnsi"/>
                <w:sz w:val="18"/>
                <w:szCs w:val="18"/>
              </w:rPr>
              <w:t>0.85</w:t>
            </w:r>
          </w:p>
        </w:tc>
        <w:tc>
          <w:tcPr>
            <w:tcW w:w="659" w:type="dxa"/>
            <w:tcBorders>
              <w:top w:val="nil"/>
              <w:left w:val="nil"/>
              <w:bottom w:val="single" w:sz="4" w:space="0" w:color="auto"/>
              <w:right w:val="nil"/>
            </w:tcBorders>
            <w:shd w:val="clear" w:color="auto" w:fill="auto"/>
            <w:noWrap/>
            <w:vAlign w:val="bottom"/>
            <w:hideMark/>
          </w:tcPr>
          <w:p w14:paraId="395F3521" w14:textId="77777777" w:rsidR="004337E6" w:rsidRPr="002812B0" w:rsidRDefault="004337E6" w:rsidP="008975E4">
            <w:pPr>
              <w:jc w:val="right"/>
              <w:rPr>
                <w:rFonts w:cstheme="minorHAnsi"/>
                <w:sz w:val="18"/>
                <w:szCs w:val="18"/>
              </w:rPr>
            </w:pPr>
            <w:r w:rsidRPr="002812B0">
              <w:rPr>
                <w:rFonts w:cstheme="minorHAnsi"/>
                <w:sz w:val="18"/>
                <w:szCs w:val="18"/>
              </w:rPr>
              <w:t>2.55</w:t>
            </w:r>
          </w:p>
        </w:tc>
        <w:tc>
          <w:tcPr>
            <w:tcW w:w="933" w:type="dxa"/>
            <w:gridSpan w:val="2"/>
            <w:tcBorders>
              <w:top w:val="nil"/>
              <w:left w:val="nil"/>
              <w:bottom w:val="single" w:sz="4" w:space="0" w:color="auto"/>
              <w:right w:val="nil"/>
            </w:tcBorders>
            <w:shd w:val="clear" w:color="auto" w:fill="auto"/>
            <w:noWrap/>
            <w:vAlign w:val="bottom"/>
            <w:hideMark/>
          </w:tcPr>
          <w:p w14:paraId="148602B7" w14:textId="77777777" w:rsidR="004337E6" w:rsidRPr="002812B0" w:rsidRDefault="004337E6" w:rsidP="008975E4">
            <w:pPr>
              <w:jc w:val="right"/>
              <w:rPr>
                <w:rFonts w:cstheme="minorHAnsi"/>
                <w:b/>
                <w:bCs/>
                <w:sz w:val="18"/>
                <w:szCs w:val="18"/>
              </w:rPr>
            </w:pPr>
            <w:r w:rsidRPr="002812B0">
              <w:rPr>
                <w:rFonts w:cstheme="minorHAnsi"/>
                <w:b/>
                <w:bCs/>
                <w:sz w:val="18"/>
                <w:szCs w:val="18"/>
              </w:rPr>
              <w:t>5.10</w:t>
            </w:r>
          </w:p>
        </w:tc>
        <w:tc>
          <w:tcPr>
            <w:tcW w:w="709" w:type="dxa"/>
            <w:tcBorders>
              <w:top w:val="nil"/>
              <w:left w:val="nil"/>
              <w:bottom w:val="single" w:sz="4" w:space="0" w:color="auto"/>
              <w:right w:val="single" w:sz="4" w:space="0" w:color="auto"/>
            </w:tcBorders>
            <w:shd w:val="clear" w:color="auto" w:fill="auto"/>
            <w:noWrap/>
            <w:vAlign w:val="bottom"/>
            <w:hideMark/>
          </w:tcPr>
          <w:p w14:paraId="7422E425" w14:textId="77777777" w:rsidR="004337E6" w:rsidRPr="002812B0" w:rsidRDefault="004337E6" w:rsidP="008975E4">
            <w:pPr>
              <w:jc w:val="right"/>
              <w:rPr>
                <w:rFonts w:cstheme="minorHAnsi"/>
                <w:sz w:val="18"/>
                <w:szCs w:val="18"/>
              </w:rPr>
            </w:pPr>
            <w:r w:rsidRPr="002812B0">
              <w:rPr>
                <w:rFonts w:cstheme="minorHAnsi"/>
                <w:sz w:val="18"/>
                <w:szCs w:val="18"/>
              </w:rPr>
              <w:t>2.55</w:t>
            </w:r>
          </w:p>
        </w:tc>
        <w:tc>
          <w:tcPr>
            <w:tcW w:w="989" w:type="dxa"/>
            <w:gridSpan w:val="2"/>
            <w:tcBorders>
              <w:top w:val="nil"/>
              <w:left w:val="nil"/>
              <w:bottom w:val="single" w:sz="4" w:space="0" w:color="auto"/>
              <w:right w:val="nil"/>
            </w:tcBorders>
            <w:shd w:val="clear" w:color="auto" w:fill="auto"/>
            <w:noWrap/>
            <w:vAlign w:val="center"/>
            <w:hideMark/>
          </w:tcPr>
          <w:p w14:paraId="79974C16" w14:textId="77777777" w:rsidR="004337E6" w:rsidRPr="002812B0" w:rsidRDefault="004337E6" w:rsidP="008975E4">
            <w:pPr>
              <w:jc w:val="right"/>
              <w:rPr>
                <w:rFonts w:cstheme="minorHAnsi"/>
                <w:sz w:val="18"/>
                <w:szCs w:val="18"/>
              </w:rPr>
            </w:pPr>
            <w:r w:rsidRPr="002812B0">
              <w:rPr>
                <w:rFonts w:cstheme="minorHAnsi"/>
                <w:sz w:val="18"/>
                <w:szCs w:val="18"/>
              </w:rPr>
              <w:t>81.22</w:t>
            </w:r>
          </w:p>
        </w:tc>
        <w:tc>
          <w:tcPr>
            <w:tcW w:w="894" w:type="dxa"/>
            <w:gridSpan w:val="2"/>
            <w:tcBorders>
              <w:top w:val="nil"/>
              <w:left w:val="nil"/>
              <w:bottom w:val="single" w:sz="4" w:space="0" w:color="auto"/>
              <w:right w:val="nil"/>
            </w:tcBorders>
            <w:shd w:val="clear" w:color="auto" w:fill="auto"/>
            <w:noWrap/>
            <w:vAlign w:val="center"/>
            <w:hideMark/>
          </w:tcPr>
          <w:p w14:paraId="3C4ED05E" w14:textId="77777777" w:rsidR="004337E6" w:rsidRPr="002812B0" w:rsidRDefault="004337E6" w:rsidP="008975E4">
            <w:pPr>
              <w:jc w:val="right"/>
              <w:rPr>
                <w:rFonts w:cstheme="minorHAnsi"/>
                <w:sz w:val="18"/>
                <w:szCs w:val="18"/>
              </w:rPr>
            </w:pPr>
            <w:r w:rsidRPr="002812B0">
              <w:rPr>
                <w:rFonts w:cstheme="minorHAnsi"/>
                <w:sz w:val="18"/>
                <w:szCs w:val="18"/>
              </w:rPr>
              <w:t>9.86</w:t>
            </w:r>
          </w:p>
        </w:tc>
        <w:tc>
          <w:tcPr>
            <w:tcW w:w="690" w:type="dxa"/>
            <w:gridSpan w:val="2"/>
            <w:tcBorders>
              <w:top w:val="nil"/>
              <w:left w:val="nil"/>
              <w:bottom w:val="single" w:sz="4" w:space="0" w:color="auto"/>
              <w:right w:val="nil"/>
            </w:tcBorders>
            <w:shd w:val="clear" w:color="auto" w:fill="auto"/>
            <w:noWrap/>
            <w:vAlign w:val="center"/>
            <w:hideMark/>
          </w:tcPr>
          <w:p w14:paraId="369C810A" w14:textId="77777777" w:rsidR="004337E6" w:rsidRPr="002812B0" w:rsidRDefault="004337E6" w:rsidP="008975E4">
            <w:pPr>
              <w:jc w:val="right"/>
              <w:rPr>
                <w:rFonts w:cstheme="minorHAnsi"/>
                <w:b/>
                <w:bCs/>
                <w:sz w:val="18"/>
                <w:szCs w:val="18"/>
              </w:rPr>
            </w:pPr>
            <w:r w:rsidRPr="002812B0">
              <w:rPr>
                <w:rFonts w:cstheme="minorHAnsi"/>
                <w:b/>
                <w:bCs/>
                <w:sz w:val="18"/>
                <w:szCs w:val="18"/>
              </w:rPr>
              <w:t>91.08</w:t>
            </w:r>
          </w:p>
        </w:tc>
        <w:tc>
          <w:tcPr>
            <w:tcW w:w="974" w:type="dxa"/>
            <w:gridSpan w:val="2"/>
            <w:tcBorders>
              <w:top w:val="nil"/>
              <w:left w:val="nil"/>
              <w:bottom w:val="single" w:sz="4" w:space="0" w:color="auto"/>
              <w:right w:val="nil"/>
            </w:tcBorders>
            <w:shd w:val="clear" w:color="auto" w:fill="auto"/>
            <w:noWrap/>
            <w:vAlign w:val="center"/>
            <w:hideMark/>
          </w:tcPr>
          <w:p w14:paraId="2D0F1CC6" w14:textId="77777777" w:rsidR="004337E6" w:rsidRPr="002812B0" w:rsidRDefault="004337E6" w:rsidP="008975E4">
            <w:pPr>
              <w:jc w:val="right"/>
              <w:rPr>
                <w:rFonts w:cstheme="minorHAnsi"/>
                <w:sz w:val="18"/>
                <w:szCs w:val="18"/>
              </w:rPr>
            </w:pPr>
            <w:r w:rsidRPr="002812B0">
              <w:rPr>
                <w:rFonts w:cstheme="minorHAnsi"/>
                <w:sz w:val="18"/>
                <w:szCs w:val="18"/>
              </w:rPr>
              <w:t>2.35</w:t>
            </w:r>
          </w:p>
        </w:tc>
        <w:tc>
          <w:tcPr>
            <w:tcW w:w="894" w:type="dxa"/>
            <w:gridSpan w:val="2"/>
            <w:tcBorders>
              <w:top w:val="nil"/>
              <w:left w:val="nil"/>
              <w:bottom w:val="single" w:sz="4" w:space="0" w:color="auto"/>
              <w:right w:val="nil"/>
            </w:tcBorders>
            <w:shd w:val="clear" w:color="auto" w:fill="auto"/>
            <w:noWrap/>
            <w:vAlign w:val="center"/>
            <w:hideMark/>
          </w:tcPr>
          <w:p w14:paraId="37CF9DFD" w14:textId="77777777" w:rsidR="004337E6" w:rsidRPr="002812B0" w:rsidRDefault="004337E6" w:rsidP="008975E4">
            <w:pPr>
              <w:jc w:val="right"/>
              <w:rPr>
                <w:rFonts w:cstheme="minorHAnsi"/>
                <w:sz w:val="18"/>
                <w:szCs w:val="18"/>
              </w:rPr>
            </w:pPr>
            <w:r w:rsidRPr="002812B0">
              <w:rPr>
                <w:rFonts w:cstheme="minorHAnsi"/>
                <w:sz w:val="18"/>
                <w:szCs w:val="18"/>
              </w:rPr>
              <w:t>1.41</w:t>
            </w:r>
          </w:p>
        </w:tc>
        <w:tc>
          <w:tcPr>
            <w:tcW w:w="659" w:type="dxa"/>
            <w:gridSpan w:val="2"/>
            <w:tcBorders>
              <w:top w:val="nil"/>
              <w:left w:val="nil"/>
              <w:bottom w:val="single" w:sz="4" w:space="0" w:color="auto"/>
              <w:right w:val="nil"/>
            </w:tcBorders>
            <w:shd w:val="clear" w:color="auto" w:fill="auto"/>
            <w:noWrap/>
            <w:vAlign w:val="center"/>
            <w:hideMark/>
          </w:tcPr>
          <w:p w14:paraId="32ECC662" w14:textId="77777777" w:rsidR="004337E6" w:rsidRPr="002812B0" w:rsidRDefault="004337E6" w:rsidP="008975E4">
            <w:pPr>
              <w:jc w:val="right"/>
              <w:rPr>
                <w:rFonts w:cstheme="minorHAnsi"/>
                <w:sz w:val="18"/>
                <w:szCs w:val="18"/>
              </w:rPr>
            </w:pPr>
            <w:r w:rsidRPr="002812B0">
              <w:rPr>
                <w:rFonts w:cstheme="minorHAnsi"/>
                <w:sz w:val="18"/>
                <w:szCs w:val="18"/>
              </w:rPr>
              <w:t>2.35</w:t>
            </w:r>
          </w:p>
        </w:tc>
        <w:tc>
          <w:tcPr>
            <w:tcW w:w="854" w:type="dxa"/>
            <w:tcBorders>
              <w:top w:val="nil"/>
              <w:left w:val="nil"/>
              <w:bottom w:val="single" w:sz="4" w:space="0" w:color="auto"/>
              <w:right w:val="nil"/>
            </w:tcBorders>
            <w:shd w:val="clear" w:color="auto" w:fill="auto"/>
            <w:noWrap/>
            <w:vAlign w:val="center"/>
            <w:hideMark/>
          </w:tcPr>
          <w:p w14:paraId="40835E6A" w14:textId="77777777" w:rsidR="004337E6" w:rsidRPr="002812B0" w:rsidRDefault="004337E6" w:rsidP="008975E4">
            <w:pPr>
              <w:jc w:val="right"/>
              <w:rPr>
                <w:rFonts w:cstheme="minorHAnsi"/>
                <w:b/>
                <w:bCs/>
                <w:sz w:val="18"/>
                <w:szCs w:val="18"/>
              </w:rPr>
            </w:pPr>
            <w:r w:rsidRPr="002812B0">
              <w:rPr>
                <w:rFonts w:cstheme="minorHAnsi"/>
                <w:b/>
                <w:bCs/>
                <w:sz w:val="18"/>
                <w:szCs w:val="18"/>
              </w:rPr>
              <w:t>6.11</w:t>
            </w:r>
          </w:p>
        </w:tc>
        <w:tc>
          <w:tcPr>
            <w:tcW w:w="792" w:type="dxa"/>
            <w:tcBorders>
              <w:top w:val="nil"/>
              <w:left w:val="nil"/>
              <w:bottom w:val="single" w:sz="4" w:space="0" w:color="auto"/>
              <w:right w:val="single" w:sz="4" w:space="0" w:color="auto"/>
            </w:tcBorders>
            <w:shd w:val="clear" w:color="auto" w:fill="auto"/>
            <w:noWrap/>
            <w:vAlign w:val="center"/>
            <w:hideMark/>
          </w:tcPr>
          <w:p w14:paraId="0AC9E6EC" w14:textId="77777777" w:rsidR="004337E6" w:rsidRPr="002812B0" w:rsidRDefault="004337E6" w:rsidP="008975E4">
            <w:pPr>
              <w:jc w:val="right"/>
              <w:rPr>
                <w:rFonts w:cstheme="minorHAnsi"/>
                <w:sz w:val="18"/>
                <w:szCs w:val="18"/>
              </w:rPr>
            </w:pPr>
            <w:r w:rsidRPr="002812B0">
              <w:rPr>
                <w:rFonts w:cstheme="minorHAnsi"/>
                <w:sz w:val="18"/>
                <w:szCs w:val="18"/>
              </w:rPr>
              <w:t>2.82</w:t>
            </w:r>
          </w:p>
        </w:tc>
      </w:tr>
      <w:tr w:rsidR="004337E6" w:rsidRPr="002812B0" w14:paraId="6A4773DE" w14:textId="77777777" w:rsidTr="008975E4">
        <w:trPr>
          <w:trHeight w:hRule="exact" w:val="284"/>
        </w:trPr>
        <w:tc>
          <w:tcPr>
            <w:tcW w:w="14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A13515" w14:textId="77777777" w:rsidR="004337E6" w:rsidRPr="002812B0" w:rsidRDefault="004337E6" w:rsidP="008975E4">
            <w:pPr>
              <w:rPr>
                <w:rFonts w:cstheme="minorHAnsi"/>
                <w:sz w:val="18"/>
                <w:szCs w:val="18"/>
              </w:rPr>
            </w:pPr>
            <w:r>
              <w:rPr>
                <w:rFonts w:cstheme="minorHAnsi"/>
                <w:sz w:val="18"/>
                <w:szCs w:val="18"/>
              </w:rPr>
              <w:t>EU average</w:t>
            </w:r>
          </w:p>
        </w:tc>
        <w:tc>
          <w:tcPr>
            <w:tcW w:w="425" w:type="dxa"/>
            <w:tcBorders>
              <w:top w:val="single" w:sz="4" w:space="0" w:color="auto"/>
              <w:left w:val="nil"/>
              <w:bottom w:val="single" w:sz="4" w:space="0" w:color="auto"/>
              <w:right w:val="nil"/>
            </w:tcBorders>
            <w:shd w:val="clear" w:color="auto" w:fill="auto"/>
            <w:noWrap/>
            <w:vAlign w:val="bottom"/>
            <w:hideMark/>
          </w:tcPr>
          <w:p w14:paraId="497E4BB5" w14:textId="77777777" w:rsidR="004337E6" w:rsidRPr="002812B0" w:rsidRDefault="004337E6" w:rsidP="008975E4">
            <w:pPr>
              <w:ind w:right="-111"/>
              <w:jc w:val="left"/>
              <w:rPr>
                <w:rFonts w:cstheme="minorHAnsi"/>
                <w:sz w:val="18"/>
                <w:szCs w:val="18"/>
              </w:rPr>
            </w:pPr>
            <w:r>
              <w:rPr>
                <w:rFonts w:cstheme="minorHAnsi"/>
                <w:sz w:val="18"/>
                <w:szCs w:val="18"/>
              </w:rPr>
              <w:t>EU</w:t>
            </w:r>
            <w:r w:rsidRPr="002812B0">
              <w:rPr>
                <w:rFonts w:cstheme="minorHAnsi"/>
                <w:sz w:val="18"/>
                <w:szCs w:val="18"/>
              </w:rPr>
              <w:t> </w:t>
            </w:r>
          </w:p>
        </w:tc>
        <w:tc>
          <w:tcPr>
            <w:tcW w:w="992" w:type="dxa"/>
            <w:gridSpan w:val="2"/>
            <w:tcBorders>
              <w:top w:val="single" w:sz="4" w:space="0" w:color="auto"/>
              <w:left w:val="single" w:sz="4" w:space="0" w:color="auto"/>
              <w:bottom w:val="single" w:sz="4" w:space="0" w:color="auto"/>
              <w:right w:val="nil"/>
            </w:tcBorders>
            <w:shd w:val="clear" w:color="auto" w:fill="auto"/>
            <w:noWrap/>
            <w:vAlign w:val="bottom"/>
            <w:hideMark/>
          </w:tcPr>
          <w:p w14:paraId="0D2B39DF" w14:textId="77777777" w:rsidR="004337E6" w:rsidRPr="002812B0" w:rsidRDefault="004337E6" w:rsidP="008975E4">
            <w:pPr>
              <w:jc w:val="right"/>
              <w:rPr>
                <w:rFonts w:cstheme="minorHAnsi"/>
                <w:sz w:val="18"/>
                <w:szCs w:val="18"/>
              </w:rPr>
            </w:pPr>
            <w:r w:rsidRPr="002812B0">
              <w:rPr>
                <w:rFonts w:cstheme="minorHAnsi"/>
                <w:sz w:val="18"/>
                <w:szCs w:val="18"/>
              </w:rPr>
              <w:t>69.77</w:t>
            </w:r>
          </w:p>
        </w:tc>
        <w:tc>
          <w:tcPr>
            <w:tcW w:w="992" w:type="dxa"/>
            <w:gridSpan w:val="2"/>
            <w:tcBorders>
              <w:top w:val="single" w:sz="4" w:space="0" w:color="auto"/>
              <w:left w:val="nil"/>
              <w:bottom w:val="single" w:sz="4" w:space="0" w:color="auto"/>
              <w:right w:val="nil"/>
            </w:tcBorders>
            <w:shd w:val="clear" w:color="auto" w:fill="auto"/>
            <w:noWrap/>
            <w:vAlign w:val="bottom"/>
            <w:hideMark/>
          </w:tcPr>
          <w:p w14:paraId="4E57CEB1" w14:textId="77777777" w:rsidR="004337E6" w:rsidRPr="002812B0" w:rsidRDefault="004337E6" w:rsidP="008975E4">
            <w:pPr>
              <w:jc w:val="right"/>
              <w:rPr>
                <w:rFonts w:cstheme="minorHAnsi"/>
                <w:sz w:val="18"/>
                <w:szCs w:val="18"/>
              </w:rPr>
            </w:pPr>
            <w:r w:rsidRPr="002812B0">
              <w:rPr>
                <w:rFonts w:cstheme="minorHAnsi"/>
                <w:sz w:val="18"/>
                <w:szCs w:val="18"/>
              </w:rPr>
              <w:t>10.37</w:t>
            </w:r>
          </w:p>
        </w:tc>
        <w:tc>
          <w:tcPr>
            <w:tcW w:w="851" w:type="dxa"/>
            <w:gridSpan w:val="2"/>
            <w:tcBorders>
              <w:top w:val="single" w:sz="4" w:space="0" w:color="auto"/>
              <w:left w:val="nil"/>
              <w:bottom w:val="single" w:sz="4" w:space="0" w:color="auto"/>
              <w:right w:val="nil"/>
            </w:tcBorders>
            <w:shd w:val="clear" w:color="auto" w:fill="auto"/>
            <w:noWrap/>
            <w:vAlign w:val="bottom"/>
            <w:hideMark/>
          </w:tcPr>
          <w:p w14:paraId="19A13C5D" w14:textId="77777777" w:rsidR="004337E6" w:rsidRPr="002812B0" w:rsidRDefault="004337E6" w:rsidP="008975E4">
            <w:pPr>
              <w:jc w:val="right"/>
              <w:rPr>
                <w:rFonts w:cstheme="minorHAnsi"/>
                <w:b/>
                <w:bCs/>
                <w:sz w:val="18"/>
                <w:szCs w:val="18"/>
              </w:rPr>
            </w:pPr>
            <w:r w:rsidRPr="002812B0">
              <w:rPr>
                <w:rFonts w:cstheme="minorHAnsi"/>
                <w:b/>
                <w:bCs/>
                <w:sz w:val="18"/>
                <w:szCs w:val="18"/>
              </w:rPr>
              <w:t>80.14</w:t>
            </w:r>
          </w:p>
        </w:tc>
        <w:tc>
          <w:tcPr>
            <w:tcW w:w="709" w:type="dxa"/>
            <w:gridSpan w:val="2"/>
            <w:tcBorders>
              <w:top w:val="single" w:sz="4" w:space="0" w:color="auto"/>
              <w:left w:val="nil"/>
              <w:bottom w:val="single" w:sz="4" w:space="0" w:color="auto"/>
              <w:right w:val="nil"/>
            </w:tcBorders>
            <w:shd w:val="clear" w:color="auto" w:fill="auto"/>
            <w:noWrap/>
            <w:vAlign w:val="bottom"/>
            <w:hideMark/>
          </w:tcPr>
          <w:p w14:paraId="59956A04" w14:textId="77777777" w:rsidR="004337E6" w:rsidRPr="002812B0" w:rsidRDefault="004337E6" w:rsidP="008975E4">
            <w:pPr>
              <w:jc w:val="right"/>
              <w:rPr>
                <w:rFonts w:cstheme="minorHAnsi"/>
                <w:sz w:val="18"/>
                <w:szCs w:val="18"/>
              </w:rPr>
            </w:pPr>
            <w:r w:rsidRPr="002812B0">
              <w:rPr>
                <w:rFonts w:cstheme="minorHAnsi"/>
                <w:sz w:val="18"/>
                <w:szCs w:val="18"/>
              </w:rPr>
              <w:t>7.25</w:t>
            </w:r>
          </w:p>
        </w:tc>
        <w:tc>
          <w:tcPr>
            <w:tcW w:w="817" w:type="dxa"/>
            <w:gridSpan w:val="2"/>
            <w:tcBorders>
              <w:top w:val="single" w:sz="4" w:space="0" w:color="auto"/>
              <w:left w:val="nil"/>
              <w:bottom w:val="single" w:sz="4" w:space="0" w:color="auto"/>
              <w:right w:val="nil"/>
            </w:tcBorders>
            <w:shd w:val="clear" w:color="auto" w:fill="auto"/>
            <w:noWrap/>
            <w:vAlign w:val="bottom"/>
            <w:hideMark/>
          </w:tcPr>
          <w:p w14:paraId="5410F810" w14:textId="77777777" w:rsidR="004337E6" w:rsidRPr="002812B0" w:rsidRDefault="004337E6" w:rsidP="008975E4">
            <w:pPr>
              <w:jc w:val="right"/>
              <w:rPr>
                <w:rFonts w:cstheme="minorHAnsi"/>
                <w:sz w:val="18"/>
                <w:szCs w:val="18"/>
              </w:rPr>
            </w:pPr>
            <w:r w:rsidRPr="002812B0">
              <w:rPr>
                <w:rFonts w:cstheme="minorHAnsi"/>
                <w:sz w:val="18"/>
                <w:szCs w:val="18"/>
              </w:rPr>
              <w:t>7.63</w:t>
            </w:r>
          </w:p>
        </w:tc>
        <w:tc>
          <w:tcPr>
            <w:tcW w:w="659" w:type="dxa"/>
            <w:tcBorders>
              <w:top w:val="single" w:sz="4" w:space="0" w:color="auto"/>
              <w:left w:val="nil"/>
              <w:bottom w:val="single" w:sz="4" w:space="0" w:color="auto"/>
              <w:right w:val="nil"/>
            </w:tcBorders>
            <w:shd w:val="clear" w:color="auto" w:fill="auto"/>
            <w:noWrap/>
            <w:vAlign w:val="bottom"/>
            <w:hideMark/>
          </w:tcPr>
          <w:p w14:paraId="2A096B22" w14:textId="77777777" w:rsidR="004337E6" w:rsidRPr="002812B0" w:rsidRDefault="004337E6" w:rsidP="008975E4">
            <w:pPr>
              <w:jc w:val="right"/>
              <w:rPr>
                <w:rFonts w:cstheme="minorHAnsi"/>
                <w:sz w:val="18"/>
                <w:szCs w:val="18"/>
              </w:rPr>
            </w:pPr>
            <w:r w:rsidRPr="002812B0">
              <w:rPr>
                <w:rFonts w:cstheme="minorHAnsi"/>
                <w:sz w:val="18"/>
                <w:szCs w:val="18"/>
              </w:rPr>
              <w:t>4.41</w:t>
            </w:r>
          </w:p>
        </w:tc>
        <w:tc>
          <w:tcPr>
            <w:tcW w:w="933" w:type="dxa"/>
            <w:gridSpan w:val="2"/>
            <w:tcBorders>
              <w:top w:val="single" w:sz="4" w:space="0" w:color="auto"/>
              <w:left w:val="nil"/>
              <w:bottom w:val="single" w:sz="4" w:space="0" w:color="auto"/>
              <w:right w:val="nil"/>
            </w:tcBorders>
            <w:shd w:val="clear" w:color="auto" w:fill="auto"/>
            <w:noWrap/>
            <w:vAlign w:val="bottom"/>
            <w:hideMark/>
          </w:tcPr>
          <w:p w14:paraId="465FD1B7" w14:textId="77777777" w:rsidR="004337E6" w:rsidRPr="002812B0" w:rsidRDefault="004337E6" w:rsidP="008975E4">
            <w:pPr>
              <w:jc w:val="right"/>
              <w:rPr>
                <w:rFonts w:cstheme="minorHAnsi"/>
                <w:b/>
                <w:bCs/>
                <w:sz w:val="18"/>
                <w:szCs w:val="18"/>
              </w:rPr>
            </w:pPr>
            <w:r w:rsidRPr="002812B0">
              <w:rPr>
                <w:rFonts w:cstheme="minorHAnsi"/>
                <w:b/>
                <w:bCs/>
                <w:sz w:val="18"/>
                <w:szCs w:val="18"/>
              </w:rPr>
              <w:t>19.29</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64FD3591" w14:textId="77777777" w:rsidR="004337E6" w:rsidRPr="002812B0" w:rsidRDefault="004337E6" w:rsidP="008975E4">
            <w:pPr>
              <w:jc w:val="right"/>
              <w:rPr>
                <w:rFonts w:cstheme="minorHAnsi"/>
                <w:sz w:val="18"/>
                <w:szCs w:val="18"/>
              </w:rPr>
            </w:pPr>
            <w:r w:rsidRPr="002812B0">
              <w:rPr>
                <w:rFonts w:cstheme="minorHAnsi"/>
                <w:sz w:val="18"/>
                <w:szCs w:val="18"/>
              </w:rPr>
              <w:t>0.58</w:t>
            </w:r>
          </w:p>
        </w:tc>
        <w:tc>
          <w:tcPr>
            <w:tcW w:w="989" w:type="dxa"/>
            <w:gridSpan w:val="2"/>
            <w:tcBorders>
              <w:top w:val="single" w:sz="4" w:space="0" w:color="auto"/>
              <w:left w:val="nil"/>
              <w:bottom w:val="single" w:sz="4" w:space="0" w:color="auto"/>
              <w:right w:val="nil"/>
            </w:tcBorders>
            <w:shd w:val="clear" w:color="auto" w:fill="auto"/>
            <w:noWrap/>
            <w:vAlign w:val="center"/>
            <w:hideMark/>
          </w:tcPr>
          <w:p w14:paraId="60FCDE94" w14:textId="77777777" w:rsidR="004337E6" w:rsidRPr="002812B0" w:rsidRDefault="004337E6" w:rsidP="008975E4">
            <w:pPr>
              <w:jc w:val="right"/>
              <w:rPr>
                <w:rFonts w:cstheme="minorHAnsi"/>
                <w:sz w:val="18"/>
                <w:szCs w:val="18"/>
              </w:rPr>
            </w:pPr>
            <w:r w:rsidRPr="002812B0">
              <w:rPr>
                <w:rFonts w:cstheme="minorHAnsi"/>
                <w:sz w:val="18"/>
                <w:szCs w:val="18"/>
              </w:rPr>
              <w:t>65.82</w:t>
            </w:r>
          </w:p>
        </w:tc>
        <w:tc>
          <w:tcPr>
            <w:tcW w:w="894" w:type="dxa"/>
            <w:gridSpan w:val="2"/>
            <w:tcBorders>
              <w:top w:val="single" w:sz="4" w:space="0" w:color="auto"/>
              <w:left w:val="nil"/>
              <w:bottom w:val="single" w:sz="4" w:space="0" w:color="auto"/>
              <w:right w:val="nil"/>
            </w:tcBorders>
            <w:shd w:val="clear" w:color="auto" w:fill="auto"/>
            <w:noWrap/>
            <w:vAlign w:val="center"/>
            <w:hideMark/>
          </w:tcPr>
          <w:p w14:paraId="5FF3CAFA" w14:textId="77777777" w:rsidR="004337E6" w:rsidRPr="002812B0" w:rsidRDefault="004337E6" w:rsidP="008975E4">
            <w:pPr>
              <w:jc w:val="right"/>
              <w:rPr>
                <w:rFonts w:cstheme="minorHAnsi"/>
                <w:sz w:val="18"/>
                <w:szCs w:val="18"/>
              </w:rPr>
            </w:pPr>
            <w:r w:rsidRPr="002812B0">
              <w:rPr>
                <w:rFonts w:cstheme="minorHAnsi"/>
                <w:sz w:val="18"/>
                <w:szCs w:val="18"/>
              </w:rPr>
              <w:t>10.69</w:t>
            </w:r>
          </w:p>
        </w:tc>
        <w:tc>
          <w:tcPr>
            <w:tcW w:w="690" w:type="dxa"/>
            <w:gridSpan w:val="2"/>
            <w:tcBorders>
              <w:top w:val="single" w:sz="4" w:space="0" w:color="auto"/>
              <w:left w:val="nil"/>
              <w:bottom w:val="single" w:sz="4" w:space="0" w:color="auto"/>
              <w:right w:val="nil"/>
            </w:tcBorders>
            <w:shd w:val="clear" w:color="auto" w:fill="auto"/>
            <w:noWrap/>
            <w:vAlign w:val="center"/>
            <w:hideMark/>
          </w:tcPr>
          <w:p w14:paraId="26BEB249" w14:textId="77777777" w:rsidR="004337E6" w:rsidRPr="002812B0" w:rsidRDefault="004337E6" w:rsidP="008975E4">
            <w:pPr>
              <w:jc w:val="right"/>
              <w:rPr>
                <w:rFonts w:cstheme="minorHAnsi"/>
                <w:b/>
                <w:bCs/>
                <w:sz w:val="18"/>
                <w:szCs w:val="18"/>
              </w:rPr>
            </w:pPr>
            <w:r w:rsidRPr="002812B0">
              <w:rPr>
                <w:rFonts w:cstheme="minorHAnsi"/>
                <w:b/>
                <w:bCs/>
                <w:sz w:val="18"/>
                <w:szCs w:val="18"/>
              </w:rPr>
              <w:t>76.51</w:t>
            </w:r>
          </w:p>
        </w:tc>
        <w:tc>
          <w:tcPr>
            <w:tcW w:w="974" w:type="dxa"/>
            <w:gridSpan w:val="2"/>
            <w:tcBorders>
              <w:top w:val="single" w:sz="4" w:space="0" w:color="auto"/>
              <w:left w:val="nil"/>
              <w:bottom w:val="single" w:sz="4" w:space="0" w:color="auto"/>
              <w:right w:val="nil"/>
            </w:tcBorders>
            <w:shd w:val="clear" w:color="auto" w:fill="auto"/>
            <w:noWrap/>
            <w:vAlign w:val="center"/>
            <w:hideMark/>
          </w:tcPr>
          <w:p w14:paraId="7CCA6FB6" w14:textId="77777777" w:rsidR="004337E6" w:rsidRPr="002812B0" w:rsidRDefault="004337E6" w:rsidP="008975E4">
            <w:pPr>
              <w:jc w:val="right"/>
              <w:rPr>
                <w:rFonts w:cstheme="minorHAnsi"/>
                <w:sz w:val="18"/>
                <w:szCs w:val="18"/>
              </w:rPr>
            </w:pPr>
            <w:r w:rsidRPr="002812B0">
              <w:rPr>
                <w:rFonts w:cstheme="minorHAnsi"/>
                <w:sz w:val="18"/>
                <w:szCs w:val="18"/>
              </w:rPr>
              <w:t>10.89</w:t>
            </w:r>
          </w:p>
        </w:tc>
        <w:tc>
          <w:tcPr>
            <w:tcW w:w="894" w:type="dxa"/>
            <w:gridSpan w:val="2"/>
            <w:tcBorders>
              <w:top w:val="single" w:sz="4" w:space="0" w:color="auto"/>
              <w:left w:val="nil"/>
              <w:bottom w:val="single" w:sz="4" w:space="0" w:color="auto"/>
              <w:right w:val="nil"/>
            </w:tcBorders>
            <w:shd w:val="clear" w:color="auto" w:fill="auto"/>
            <w:noWrap/>
            <w:vAlign w:val="center"/>
            <w:hideMark/>
          </w:tcPr>
          <w:p w14:paraId="7D2C871C" w14:textId="77777777" w:rsidR="004337E6" w:rsidRPr="002812B0" w:rsidRDefault="004337E6" w:rsidP="008975E4">
            <w:pPr>
              <w:jc w:val="right"/>
              <w:rPr>
                <w:rFonts w:cstheme="minorHAnsi"/>
                <w:sz w:val="18"/>
                <w:szCs w:val="18"/>
              </w:rPr>
            </w:pPr>
            <w:r w:rsidRPr="002812B0">
              <w:rPr>
                <w:rFonts w:cstheme="minorHAnsi"/>
                <w:sz w:val="18"/>
                <w:szCs w:val="18"/>
              </w:rPr>
              <w:t>7.15</w:t>
            </w:r>
          </w:p>
        </w:tc>
        <w:tc>
          <w:tcPr>
            <w:tcW w:w="659" w:type="dxa"/>
            <w:gridSpan w:val="2"/>
            <w:tcBorders>
              <w:top w:val="single" w:sz="4" w:space="0" w:color="auto"/>
              <w:left w:val="nil"/>
              <w:bottom w:val="single" w:sz="4" w:space="0" w:color="auto"/>
              <w:right w:val="nil"/>
            </w:tcBorders>
            <w:shd w:val="clear" w:color="auto" w:fill="auto"/>
            <w:noWrap/>
            <w:vAlign w:val="center"/>
            <w:hideMark/>
          </w:tcPr>
          <w:p w14:paraId="30482FE3" w14:textId="77777777" w:rsidR="004337E6" w:rsidRPr="002812B0" w:rsidRDefault="004337E6" w:rsidP="008975E4">
            <w:pPr>
              <w:jc w:val="right"/>
              <w:rPr>
                <w:rFonts w:cstheme="minorHAnsi"/>
                <w:sz w:val="18"/>
                <w:szCs w:val="18"/>
              </w:rPr>
            </w:pPr>
            <w:r w:rsidRPr="002812B0">
              <w:rPr>
                <w:rFonts w:cstheme="minorHAnsi"/>
                <w:sz w:val="18"/>
                <w:szCs w:val="18"/>
              </w:rPr>
              <w:t>4.76</w:t>
            </w:r>
          </w:p>
        </w:tc>
        <w:tc>
          <w:tcPr>
            <w:tcW w:w="854" w:type="dxa"/>
            <w:tcBorders>
              <w:top w:val="single" w:sz="4" w:space="0" w:color="auto"/>
              <w:left w:val="nil"/>
              <w:bottom w:val="single" w:sz="4" w:space="0" w:color="auto"/>
              <w:right w:val="nil"/>
            </w:tcBorders>
            <w:shd w:val="clear" w:color="auto" w:fill="auto"/>
            <w:noWrap/>
            <w:vAlign w:val="center"/>
            <w:hideMark/>
          </w:tcPr>
          <w:p w14:paraId="5C61F4E6" w14:textId="77777777" w:rsidR="004337E6" w:rsidRPr="002812B0" w:rsidRDefault="004337E6" w:rsidP="008975E4">
            <w:pPr>
              <w:jc w:val="right"/>
              <w:rPr>
                <w:rFonts w:cstheme="minorHAnsi"/>
                <w:b/>
                <w:bCs/>
                <w:sz w:val="18"/>
                <w:szCs w:val="18"/>
              </w:rPr>
            </w:pPr>
            <w:r w:rsidRPr="002812B0">
              <w:rPr>
                <w:rFonts w:cstheme="minorHAnsi"/>
                <w:b/>
                <w:bCs/>
                <w:sz w:val="18"/>
                <w:szCs w:val="18"/>
              </w:rPr>
              <w:t>22.80</w:t>
            </w:r>
          </w:p>
        </w:tc>
        <w:tc>
          <w:tcPr>
            <w:tcW w:w="792" w:type="dxa"/>
            <w:tcBorders>
              <w:top w:val="single" w:sz="4" w:space="0" w:color="auto"/>
              <w:left w:val="nil"/>
              <w:bottom w:val="single" w:sz="4" w:space="0" w:color="auto"/>
              <w:right w:val="single" w:sz="4" w:space="0" w:color="auto"/>
            </w:tcBorders>
            <w:shd w:val="clear" w:color="auto" w:fill="auto"/>
            <w:noWrap/>
            <w:vAlign w:val="center"/>
            <w:hideMark/>
          </w:tcPr>
          <w:p w14:paraId="34FD08CD" w14:textId="77777777" w:rsidR="004337E6" w:rsidRPr="002812B0" w:rsidRDefault="004337E6" w:rsidP="008975E4">
            <w:pPr>
              <w:jc w:val="right"/>
              <w:rPr>
                <w:rFonts w:cstheme="minorHAnsi"/>
                <w:sz w:val="18"/>
                <w:szCs w:val="18"/>
              </w:rPr>
            </w:pPr>
            <w:r w:rsidRPr="002812B0">
              <w:rPr>
                <w:rFonts w:cstheme="minorHAnsi"/>
                <w:sz w:val="18"/>
                <w:szCs w:val="18"/>
              </w:rPr>
              <w:t>0.69</w:t>
            </w:r>
          </w:p>
        </w:tc>
      </w:tr>
    </w:tbl>
    <w:p w14:paraId="19A221E4" w14:textId="77777777" w:rsidR="00085432" w:rsidRDefault="00085432" w:rsidP="00085432">
      <w:pPr>
        <w:ind w:left="-567"/>
        <w:jc w:val="left"/>
        <w:rPr>
          <w:sz w:val="20"/>
        </w:rPr>
      </w:pPr>
      <w:r>
        <w:rPr>
          <w:sz w:val="20"/>
        </w:rPr>
        <w:t>Note: countries ranked by pre-crisis share of insecure trajectories.</w:t>
      </w:r>
    </w:p>
    <w:p w14:paraId="72EFCD58" w14:textId="77777777" w:rsidR="00E703F0" w:rsidRDefault="00085432" w:rsidP="00CD740F">
      <w:pPr>
        <w:ind w:left="-567"/>
        <w:jc w:val="left"/>
        <w:rPr>
          <w:sz w:val="20"/>
        </w:rPr>
        <w:sectPr w:rsidR="00E703F0" w:rsidSect="00085432">
          <w:headerReference w:type="default" r:id="rId12"/>
          <w:pgSz w:w="16838" w:h="11906" w:orient="landscape"/>
          <w:pgMar w:top="851" w:right="1361" w:bottom="1134" w:left="1361" w:header="709" w:footer="709" w:gutter="0"/>
          <w:cols w:space="708"/>
          <w:docGrid w:linePitch="360"/>
        </w:sectPr>
      </w:pPr>
      <w:r>
        <w:rPr>
          <w:sz w:val="20"/>
        </w:rPr>
        <w:t>Source: EU-SILC l</w:t>
      </w:r>
      <w:r w:rsidRPr="00074034">
        <w:rPr>
          <w:sz w:val="20"/>
        </w:rPr>
        <w:t>ongitudinal data authors’ own calculations</w:t>
      </w:r>
      <w:r>
        <w:rPr>
          <w:sz w:val="20"/>
        </w:rPr>
        <w:t>.</w:t>
      </w:r>
    </w:p>
    <w:p w14:paraId="46E6F108" w14:textId="01C7497B" w:rsidR="00CD740F" w:rsidRDefault="00CD740F" w:rsidP="00CD740F">
      <w:pPr>
        <w:ind w:left="-567"/>
        <w:jc w:val="left"/>
        <w:rPr>
          <w:sz w:val="20"/>
        </w:rPr>
      </w:pPr>
    </w:p>
    <w:p w14:paraId="46313E39" w14:textId="77777777" w:rsidR="00017018" w:rsidRPr="00E86E0E" w:rsidRDefault="00017018" w:rsidP="00017018">
      <w:pPr>
        <w:spacing w:after="120" w:line="300" w:lineRule="auto"/>
        <w:jc w:val="both"/>
        <w:rPr>
          <w:rFonts w:ascii="Times New Roman" w:hAnsi="Times New Roman"/>
          <w:b/>
          <w:sz w:val="24"/>
          <w:szCs w:val="24"/>
        </w:rPr>
      </w:pPr>
      <w:r w:rsidRPr="00E86E0E">
        <w:rPr>
          <w:rFonts w:ascii="Times New Roman" w:hAnsi="Times New Roman"/>
          <w:b/>
          <w:sz w:val="24"/>
          <w:szCs w:val="24"/>
        </w:rPr>
        <w:t>REFERENCES</w:t>
      </w:r>
    </w:p>
    <w:p w14:paraId="6A2CE4D9" w14:textId="77777777" w:rsidR="00017018" w:rsidRPr="00E86E0E" w:rsidRDefault="00017018" w:rsidP="00017018">
      <w:pPr>
        <w:spacing w:after="120"/>
        <w:ind w:left="720" w:hanging="720"/>
        <w:jc w:val="left"/>
        <w:rPr>
          <w:rFonts w:ascii="Times New Roman" w:hAnsi="Times New Roman"/>
        </w:rPr>
      </w:pPr>
      <w:r>
        <w:rPr>
          <w:rFonts w:ascii="Times New Roman" w:hAnsi="Times New Roman"/>
        </w:rPr>
        <w:t>Anxo</w:t>
      </w:r>
      <w:r w:rsidRPr="00E86E0E">
        <w:rPr>
          <w:rFonts w:ascii="Times New Roman" w:hAnsi="Times New Roman"/>
        </w:rPr>
        <w:t xml:space="preserve"> D</w:t>
      </w:r>
      <w:r>
        <w:rPr>
          <w:rFonts w:ascii="Times New Roman" w:hAnsi="Times New Roman"/>
        </w:rPr>
        <w:t>.</w:t>
      </w:r>
      <w:r w:rsidRPr="00E86E0E">
        <w:rPr>
          <w:rFonts w:ascii="Times New Roman" w:hAnsi="Times New Roman"/>
        </w:rPr>
        <w:t>, Bosch</w:t>
      </w:r>
      <w:r>
        <w:rPr>
          <w:rFonts w:ascii="Times New Roman" w:hAnsi="Times New Roman"/>
        </w:rPr>
        <w:t xml:space="preserve"> G.,</w:t>
      </w:r>
      <w:r w:rsidRPr="00E86E0E">
        <w:rPr>
          <w:rFonts w:ascii="Times New Roman" w:hAnsi="Times New Roman"/>
        </w:rPr>
        <w:t xml:space="preserve"> Rubery J. (eds.) (2011), </w:t>
      </w:r>
      <w:r w:rsidRPr="00E86E0E">
        <w:rPr>
          <w:rFonts w:ascii="Times New Roman" w:hAnsi="Times New Roman"/>
          <w:i/>
        </w:rPr>
        <w:t>The Welfare State and Life Transitions: A European Perspective</w:t>
      </w:r>
      <w:r w:rsidRPr="00E86E0E">
        <w:rPr>
          <w:rFonts w:ascii="Times New Roman" w:hAnsi="Times New Roman"/>
        </w:rPr>
        <w:t>, Cheltenham</w:t>
      </w:r>
      <w:r>
        <w:rPr>
          <w:rFonts w:ascii="Times New Roman" w:hAnsi="Times New Roman"/>
        </w:rPr>
        <w:t xml:space="preserve">, </w:t>
      </w:r>
      <w:r w:rsidRPr="00E86E0E">
        <w:rPr>
          <w:rFonts w:ascii="Times New Roman" w:hAnsi="Times New Roman"/>
        </w:rPr>
        <w:t>Edward Elgar</w:t>
      </w:r>
    </w:p>
    <w:p w14:paraId="5754585C" w14:textId="77777777" w:rsidR="00017018" w:rsidRPr="00E86E0E" w:rsidRDefault="00017018" w:rsidP="00017018">
      <w:pPr>
        <w:spacing w:after="120"/>
        <w:ind w:left="720" w:hanging="720"/>
        <w:jc w:val="left"/>
        <w:rPr>
          <w:rFonts w:ascii="Times New Roman" w:hAnsi="Times New Roman"/>
        </w:rPr>
      </w:pPr>
      <w:r w:rsidRPr="008E6AE2">
        <w:rPr>
          <w:rFonts w:ascii="Times New Roman" w:hAnsi="Times New Roman"/>
        </w:rPr>
        <w:t>Berloffa G., Matteazzi E., Mazzolini G., Şandor A., Villa P.</w:t>
      </w:r>
      <w:r>
        <w:rPr>
          <w:rFonts w:ascii="Times New Roman" w:hAnsi="Times New Roman"/>
        </w:rPr>
        <w:t xml:space="preserve"> </w:t>
      </w:r>
      <w:r w:rsidRPr="00E86E0E">
        <w:rPr>
          <w:rFonts w:ascii="Times New Roman" w:hAnsi="Times New Roman"/>
        </w:rPr>
        <w:t>(201</w:t>
      </w:r>
      <w:r>
        <w:rPr>
          <w:rFonts w:ascii="Times New Roman" w:hAnsi="Times New Roman"/>
        </w:rPr>
        <w:t xml:space="preserve">9a), How can young people’s employment quality be assessed dynamically?, in </w:t>
      </w:r>
      <w:r w:rsidRPr="00D96008">
        <w:rPr>
          <w:rFonts w:ascii="Times New Roman" w:hAnsi="Times New Roman"/>
          <w:color w:val="000000"/>
        </w:rPr>
        <w:t>O’Reilly J., Leschke</w:t>
      </w:r>
      <w:r>
        <w:rPr>
          <w:rFonts w:ascii="Times New Roman" w:hAnsi="Times New Roman"/>
          <w:color w:val="000000"/>
        </w:rPr>
        <w:t xml:space="preserve"> J.,</w:t>
      </w:r>
      <w:r w:rsidRPr="00D96008">
        <w:rPr>
          <w:rFonts w:ascii="Times New Roman" w:hAnsi="Times New Roman"/>
          <w:color w:val="000000"/>
        </w:rPr>
        <w:t xml:space="preserve"> Ortlieb </w:t>
      </w:r>
      <w:r>
        <w:rPr>
          <w:rFonts w:ascii="Times New Roman" w:hAnsi="Times New Roman"/>
          <w:color w:val="000000"/>
        </w:rPr>
        <w:t>R.,</w:t>
      </w:r>
      <w:r w:rsidRPr="00D96008">
        <w:rPr>
          <w:rFonts w:ascii="Times New Roman" w:hAnsi="Times New Roman"/>
          <w:color w:val="000000"/>
        </w:rPr>
        <w:t xml:space="preserve"> Seeleib-Kaiser </w:t>
      </w:r>
      <w:r>
        <w:rPr>
          <w:rFonts w:ascii="Times New Roman" w:hAnsi="Times New Roman"/>
          <w:color w:val="000000"/>
        </w:rPr>
        <w:t>M.,</w:t>
      </w:r>
      <w:r w:rsidRPr="00D96008">
        <w:rPr>
          <w:rFonts w:ascii="Times New Roman" w:hAnsi="Times New Roman"/>
          <w:color w:val="000000"/>
        </w:rPr>
        <w:t xml:space="preserve"> Villa</w:t>
      </w:r>
      <w:r>
        <w:rPr>
          <w:rFonts w:ascii="Times New Roman" w:hAnsi="Times New Roman"/>
          <w:color w:val="000000"/>
        </w:rPr>
        <w:t xml:space="preserve"> P. (eds.) (2019),</w:t>
      </w:r>
      <w:r w:rsidRPr="00D96008">
        <w:rPr>
          <w:rFonts w:ascii="Times New Roman" w:hAnsi="Times New Roman"/>
          <w:color w:val="000000"/>
        </w:rPr>
        <w:t xml:space="preserve"> </w:t>
      </w:r>
      <w:r w:rsidRPr="00D96008">
        <w:rPr>
          <w:rFonts w:ascii="Times New Roman" w:hAnsi="Times New Roman"/>
          <w:i/>
          <w:color w:val="000000"/>
        </w:rPr>
        <w:t>Youth Labor in Transition. Inequalities, Mobilities and Policies in Europe</w:t>
      </w:r>
      <w:r w:rsidRPr="00D96008">
        <w:rPr>
          <w:rFonts w:ascii="Times New Roman" w:hAnsi="Times New Roman"/>
          <w:color w:val="000000"/>
        </w:rPr>
        <w:t>, Ne</w:t>
      </w:r>
      <w:r>
        <w:rPr>
          <w:rFonts w:ascii="Times New Roman" w:hAnsi="Times New Roman"/>
          <w:color w:val="000000"/>
        </w:rPr>
        <w:t>w York, Oxford University Press</w:t>
      </w:r>
      <w:r>
        <w:rPr>
          <w:rFonts w:ascii="Times New Roman" w:hAnsi="Times New Roman"/>
        </w:rPr>
        <w:t>, pp.237-270</w:t>
      </w:r>
    </w:p>
    <w:p w14:paraId="695AA42D" w14:textId="77777777" w:rsidR="00017018" w:rsidRPr="00E86E0E" w:rsidRDefault="00017018" w:rsidP="00017018">
      <w:pPr>
        <w:spacing w:after="120"/>
        <w:ind w:left="720" w:hanging="720"/>
        <w:jc w:val="left"/>
        <w:rPr>
          <w:rFonts w:ascii="Times New Roman" w:hAnsi="Times New Roman"/>
        </w:rPr>
      </w:pPr>
      <w:r>
        <w:rPr>
          <w:rFonts w:ascii="Times New Roman" w:hAnsi="Times New Roman"/>
          <w:color w:val="000000" w:themeColor="text1"/>
        </w:rPr>
        <w:t>Scarpetta S.,</w:t>
      </w:r>
      <w:r w:rsidRPr="00655E7B">
        <w:rPr>
          <w:rFonts w:ascii="Times New Roman" w:hAnsi="Times New Roman"/>
          <w:color w:val="000000" w:themeColor="text1"/>
        </w:rPr>
        <w:t xml:space="preserve"> Sonnet</w:t>
      </w:r>
      <w:r>
        <w:rPr>
          <w:rFonts w:ascii="Times New Roman" w:hAnsi="Times New Roman"/>
          <w:color w:val="000000" w:themeColor="text1"/>
        </w:rPr>
        <w:t xml:space="preserve"> A.,</w:t>
      </w:r>
      <w:r w:rsidRPr="00655E7B">
        <w:rPr>
          <w:rFonts w:ascii="Times New Roman" w:hAnsi="Times New Roman"/>
          <w:color w:val="000000" w:themeColor="text1"/>
        </w:rPr>
        <w:t xml:space="preserve"> Manfredi</w:t>
      </w:r>
      <w:r>
        <w:rPr>
          <w:rFonts w:ascii="Times New Roman" w:hAnsi="Times New Roman"/>
          <w:color w:val="000000" w:themeColor="text1"/>
        </w:rPr>
        <w:t xml:space="preserve"> T.</w:t>
      </w:r>
      <w:r w:rsidRPr="00655E7B">
        <w:rPr>
          <w:rFonts w:ascii="Times New Roman" w:hAnsi="Times New Roman"/>
          <w:color w:val="000000" w:themeColor="text1"/>
        </w:rPr>
        <w:t xml:space="preserve"> (2010),</w:t>
      </w:r>
      <w:r>
        <w:rPr>
          <w:rFonts w:ascii="Times New Roman" w:hAnsi="Times New Roman"/>
          <w:color w:val="000000" w:themeColor="text1"/>
        </w:rPr>
        <w:t xml:space="preserve"> </w:t>
      </w:r>
      <w:r w:rsidRPr="00327435">
        <w:rPr>
          <w:rFonts w:ascii="Times New Roman" w:hAnsi="Times New Roman"/>
          <w:i/>
          <w:color w:val="000000" w:themeColor="text1"/>
        </w:rPr>
        <w:t xml:space="preserve">Rising Youth Unemployment During the Crisis: </w:t>
      </w:r>
      <w:r w:rsidRPr="00327435">
        <w:rPr>
          <w:rFonts w:ascii="Times New Roman" w:hAnsi="Times New Roman"/>
          <w:i/>
        </w:rPr>
        <w:t>How to Prevent Negative Long-term Consequences on a Generation?</w:t>
      </w:r>
      <w:r w:rsidRPr="00E86E0E">
        <w:rPr>
          <w:rFonts w:ascii="Times New Roman" w:hAnsi="Times New Roman"/>
        </w:rPr>
        <w:t xml:space="preserve">, </w:t>
      </w:r>
      <w:r w:rsidRPr="00327435">
        <w:rPr>
          <w:rFonts w:ascii="Times New Roman" w:hAnsi="Times New Roman"/>
        </w:rPr>
        <w:t>OECD Social, Employment and Migration Working Papers, n.106</w:t>
      </w:r>
      <w:r>
        <w:rPr>
          <w:rFonts w:ascii="Times New Roman" w:hAnsi="Times New Roman"/>
        </w:rPr>
        <w:t>, Paris, OECD</w:t>
      </w:r>
    </w:p>
    <w:p w14:paraId="5D482DD6" w14:textId="77777777" w:rsidR="00017018" w:rsidRPr="00552B54" w:rsidRDefault="00017018" w:rsidP="00017018">
      <w:pPr>
        <w:spacing w:after="120"/>
        <w:ind w:left="720" w:hanging="720"/>
        <w:jc w:val="left"/>
        <w:rPr>
          <w:rFonts w:ascii="Times New Roman" w:hAnsi="Times New Roman"/>
        </w:rPr>
      </w:pPr>
      <w:r>
        <w:rPr>
          <w:rFonts w:ascii="Times New Roman" w:hAnsi="Times New Roman"/>
        </w:rPr>
        <w:t>Smith M.,</w:t>
      </w:r>
      <w:r w:rsidRPr="00F02179">
        <w:rPr>
          <w:rFonts w:ascii="Times New Roman" w:hAnsi="Times New Roman"/>
        </w:rPr>
        <w:t xml:space="preserve">Villa P. </w:t>
      </w:r>
      <w:r>
        <w:rPr>
          <w:rFonts w:ascii="Times New Roman" w:hAnsi="Times New Roman"/>
        </w:rPr>
        <w:t xml:space="preserve">(2020), </w:t>
      </w:r>
      <w:r w:rsidRPr="00552B54">
        <w:rPr>
          <w:rFonts w:ascii="Times New Roman" w:hAnsi="Times New Roman"/>
        </w:rPr>
        <w:t>Labour market reforms in Europe</w:t>
      </w:r>
      <w:r>
        <w:rPr>
          <w:rFonts w:ascii="Times New Roman" w:hAnsi="Times New Roman"/>
        </w:rPr>
        <w:t>, i</w:t>
      </w:r>
      <w:r w:rsidRPr="00552B54">
        <w:rPr>
          <w:rFonts w:ascii="Times New Roman" w:hAnsi="Times New Roman"/>
        </w:rPr>
        <w:t>n</w:t>
      </w:r>
      <w:r>
        <w:rPr>
          <w:rFonts w:ascii="Times New Roman" w:hAnsi="Times New Roman"/>
        </w:rPr>
        <w:t xml:space="preserve"> </w:t>
      </w:r>
      <w:r w:rsidRPr="00552B54">
        <w:rPr>
          <w:rFonts w:ascii="Times New Roman" w:hAnsi="Times New Roman"/>
        </w:rPr>
        <w:t>Marcuzzo</w:t>
      </w:r>
      <w:r>
        <w:rPr>
          <w:rFonts w:ascii="Times New Roman" w:hAnsi="Times New Roman"/>
        </w:rPr>
        <w:t xml:space="preserve"> M. C.</w:t>
      </w:r>
      <w:r w:rsidRPr="00552B54">
        <w:rPr>
          <w:rFonts w:ascii="Times New Roman" w:hAnsi="Times New Roman"/>
        </w:rPr>
        <w:t>, Palumbo</w:t>
      </w:r>
      <w:r>
        <w:rPr>
          <w:rFonts w:ascii="Times New Roman" w:hAnsi="Times New Roman"/>
        </w:rPr>
        <w:t xml:space="preserve"> </w:t>
      </w:r>
      <w:r w:rsidRPr="00552B54">
        <w:rPr>
          <w:rFonts w:ascii="Times New Roman" w:hAnsi="Times New Roman"/>
        </w:rPr>
        <w:t xml:space="preserve">A., Villa </w:t>
      </w:r>
      <w:r>
        <w:rPr>
          <w:rFonts w:ascii="Times New Roman" w:hAnsi="Times New Roman"/>
        </w:rPr>
        <w:t xml:space="preserve">P. </w:t>
      </w:r>
      <w:r w:rsidRPr="00552B54">
        <w:rPr>
          <w:rFonts w:ascii="Times New Roman" w:hAnsi="Times New Roman"/>
        </w:rPr>
        <w:t xml:space="preserve">(eds.) (2020), </w:t>
      </w:r>
      <w:r w:rsidRPr="00552B54">
        <w:rPr>
          <w:rFonts w:ascii="Times New Roman" w:hAnsi="Times New Roman"/>
          <w:i/>
        </w:rPr>
        <w:t>Economic Policy, Crisis and Innovation. Beyond Austerity in Europe</w:t>
      </w:r>
      <w:r>
        <w:rPr>
          <w:rFonts w:ascii="Times New Roman" w:hAnsi="Times New Roman"/>
        </w:rPr>
        <w:t xml:space="preserve">. London, New York: Routledge, </w:t>
      </w:r>
      <w:r w:rsidRPr="00552B54">
        <w:rPr>
          <w:rFonts w:ascii="Times New Roman" w:hAnsi="Times New Roman"/>
        </w:rPr>
        <w:t>pp. 150-167</w:t>
      </w:r>
    </w:p>
    <w:p w14:paraId="351346E8" w14:textId="77777777" w:rsidR="00017018" w:rsidRPr="00552B54" w:rsidRDefault="00017018" w:rsidP="00017018">
      <w:pPr>
        <w:spacing w:after="120"/>
        <w:ind w:left="720" w:hanging="720"/>
        <w:jc w:val="left"/>
        <w:rPr>
          <w:rFonts w:ascii="Times New Roman" w:hAnsi="Times New Roman"/>
        </w:rPr>
      </w:pPr>
      <w:r w:rsidRPr="00552B54">
        <w:rPr>
          <w:rFonts w:ascii="Times New Roman" w:hAnsi="Times New Roman"/>
        </w:rPr>
        <w:t>Stovicek</w:t>
      </w:r>
      <w:r>
        <w:rPr>
          <w:rFonts w:ascii="Times New Roman" w:hAnsi="Times New Roman"/>
        </w:rPr>
        <w:t xml:space="preserve"> K., </w:t>
      </w:r>
      <w:r w:rsidRPr="00552B54">
        <w:rPr>
          <w:rFonts w:ascii="Times New Roman" w:hAnsi="Times New Roman"/>
        </w:rPr>
        <w:t>Turrini A. (2012),</w:t>
      </w:r>
      <w:r>
        <w:rPr>
          <w:rFonts w:ascii="Times New Roman" w:hAnsi="Times New Roman"/>
        </w:rPr>
        <w:t xml:space="preserve"> </w:t>
      </w:r>
      <w:r w:rsidRPr="00766E60">
        <w:rPr>
          <w:rFonts w:ascii="Times New Roman" w:hAnsi="Times New Roman"/>
          <w:i/>
        </w:rPr>
        <w:t>Benchmarking Unemployment Benefits in the EU</w:t>
      </w:r>
      <w:r w:rsidRPr="00552B54">
        <w:rPr>
          <w:rFonts w:ascii="Times New Roman" w:hAnsi="Times New Roman"/>
        </w:rPr>
        <w:t>, IZA Policy Paper</w:t>
      </w:r>
      <w:r>
        <w:rPr>
          <w:rFonts w:ascii="Times New Roman" w:hAnsi="Times New Roman"/>
        </w:rPr>
        <w:t xml:space="preserve"> n.</w:t>
      </w:r>
      <w:r w:rsidRPr="00552B54">
        <w:rPr>
          <w:rFonts w:ascii="Times New Roman" w:hAnsi="Times New Roman"/>
        </w:rPr>
        <w:t>43</w:t>
      </w:r>
      <w:r>
        <w:rPr>
          <w:rFonts w:ascii="Times New Roman" w:hAnsi="Times New Roman"/>
        </w:rPr>
        <w:t>, Bonn, IZA &lt;</w:t>
      </w:r>
      <w:r w:rsidRPr="007B06A8">
        <w:rPr>
          <w:rFonts w:ascii="Times New Roman" w:hAnsi="Times New Roman"/>
        </w:rPr>
        <w:t>https://bit.ly/398F4kY</w:t>
      </w:r>
      <w:r>
        <w:rPr>
          <w:rFonts w:ascii="Times New Roman" w:hAnsi="Times New Roman"/>
        </w:rPr>
        <w:t>&gt;</w:t>
      </w:r>
    </w:p>
    <w:p w14:paraId="3F93F5CB" w14:textId="77777777" w:rsidR="00017018" w:rsidRPr="00E86E0E" w:rsidRDefault="00017018" w:rsidP="00017018">
      <w:pPr>
        <w:spacing w:after="120"/>
        <w:ind w:left="720" w:hanging="720"/>
        <w:jc w:val="left"/>
        <w:rPr>
          <w:rFonts w:ascii="Times New Roman" w:hAnsi="Times New Roman"/>
        </w:rPr>
      </w:pPr>
      <w:r w:rsidRPr="00E86E0E">
        <w:rPr>
          <w:rFonts w:ascii="Times New Roman" w:hAnsi="Times New Roman"/>
        </w:rPr>
        <w:t>Turrini A., Koltay G., Pierini F</w:t>
      </w:r>
      <w:r>
        <w:rPr>
          <w:rFonts w:ascii="Times New Roman" w:hAnsi="Times New Roman"/>
        </w:rPr>
        <w:t xml:space="preserve">., Goffard C., Kiss A. (2014), </w:t>
      </w:r>
      <w:r w:rsidRPr="00766E60">
        <w:rPr>
          <w:rFonts w:ascii="Times New Roman" w:hAnsi="Times New Roman"/>
          <w:i/>
        </w:rPr>
        <w:t>A decade of labour market reforms in the EU: Insights from the LABREF database</w:t>
      </w:r>
      <w:r w:rsidRPr="00E86E0E">
        <w:rPr>
          <w:rFonts w:ascii="Times New Roman" w:hAnsi="Times New Roman"/>
        </w:rPr>
        <w:t xml:space="preserve">, IZA Policy Paper </w:t>
      </w:r>
      <w:r>
        <w:rPr>
          <w:rFonts w:ascii="Times New Roman" w:hAnsi="Times New Roman"/>
        </w:rPr>
        <w:t xml:space="preserve">n. </w:t>
      </w:r>
      <w:r w:rsidRPr="00E86E0E">
        <w:rPr>
          <w:rFonts w:ascii="Times New Roman" w:hAnsi="Times New Roman"/>
        </w:rPr>
        <w:t>88</w:t>
      </w:r>
      <w:r>
        <w:rPr>
          <w:rFonts w:ascii="Times New Roman" w:hAnsi="Times New Roman"/>
        </w:rPr>
        <w:t>, Bonn, IZA &lt;</w:t>
      </w:r>
      <w:r w:rsidRPr="007B06A8">
        <w:t xml:space="preserve">https://bit.ly/3tWw1LX </w:t>
      </w:r>
      <w:r>
        <w:rPr>
          <w:rFonts w:ascii="Times New Roman" w:hAnsi="Times New Roman"/>
        </w:rPr>
        <w:t>&gt;</w:t>
      </w:r>
    </w:p>
    <w:p w14:paraId="2A493979" w14:textId="77777777" w:rsidR="00017018" w:rsidRPr="00E86E0E" w:rsidRDefault="00017018" w:rsidP="00017018">
      <w:pPr>
        <w:spacing w:after="120"/>
        <w:ind w:left="720" w:hanging="720"/>
        <w:jc w:val="left"/>
        <w:rPr>
          <w:rFonts w:ascii="Times New Roman" w:hAnsi="Times New Roman"/>
        </w:rPr>
      </w:pPr>
      <w:r>
        <w:rPr>
          <w:rFonts w:ascii="Times New Roman" w:hAnsi="Times New Roman"/>
        </w:rPr>
        <w:t>Wallace</w:t>
      </w:r>
      <w:r w:rsidRPr="00E86E0E">
        <w:rPr>
          <w:rFonts w:ascii="Times New Roman" w:hAnsi="Times New Roman"/>
        </w:rPr>
        <w:t xml:space="preserve"> C</w:t>
      </w:r>
      <w:r>
        <w:rPr>
          <w:rFonts w:ascii="Times New Roman" w:hAnsi="Times New Roman"/>
        </w:rPr>
        <w:t xml:space="preserve">., </w:t>
      </w:r>
      <w:r w:rsidRPr="00E86E0E">
        <w:rPr>
          <w:rFonts w:ascii="Times New Roman" w:hAnsi="Times New Roman"/>
        </w:rPr>
        <w:t>Bendit</w:t>
      </w:r>
      <w:r>
        <w:rPr>
          <w:rFonts w:ascii="Times New Roman" w:hAnsi="Times New Roman"/>
        </w:rPr>
        <w:t xml:space="preserve"> R. (2009), </w:t>
      </w:r>
      <w:r w:rsidRPr="00E86E0E">
        <w:rPr>
          <w:rFonts w:ascii="Times New Roman" w:hAnsi="Times New Roman"/>
        </w:rPr>
        <w:t xml:space="preserve">Youth Policies in Europe: Towards a Classification of Different Tendencies in Youth Policies in the European Union, </w:t>
      </w:r>
      <w:r w:rsidRPr="00E86E0E">
        <w:rPr>
          <w:rFonts w:ascii="Times New Roman" w:hAnsi="Times New Roman"/>
          <w:i/>
        </w:rPr>
        <w:t>Perspective on European Politics and Society</w:t>
      </w:r>
      <w:r w:rsidRPr="00E86E0E">
        <w:rPr>
          <w:rFonts w:ascii="Times New Roman" w:hAnsi="Times New Roman"/>
        </w:rPr>
        <w:t>, 10</w:t>
      </w:r>
      <w:r>
        <w:rPr>
          <w:rFonts w:ascii="Times New Roman" w:hAnsi="Times New Roman"/>
        </w:rPr>
        <w:t>, n.</w:t>
      </w:r>
      <w:r w:rsidRPr="00E86E0E">
        <w:rPr>
          <w:rFonts w:ascii="Times New Roman" w:hAnsi="Times New Roman"/>
        </w:rPr>
        <w:t>3</w:t>
      </w:r>
      <w:r>
        <w:rPr>
          <w:rFonts w:ascii="Times New Roman" w:hAnsi="Times New Roman"/>
        </w:rPr>
        <w:t>, pp.441-458</w:t>
      </w:r>
    </w:p>
    <w:p w14:paraId="578AA88B" w14:textId="77777777" w:rsidR="00E703F0" w:rsidRDefault="00E703F0" w:rsidP="00CD740F">
      <w:pPr>
        <w:jc w:val="left"/>
        <w:rPr>
          <w:rFonts w:ascii="Times New Roman" w:hAnsi="Times New Roman"/>
          <w:b/>
          <w:sz w:val="28"/>
          <w:szCs w:val="28"/>
        </w:rPr>
      </w:pPr>
    </w:p>
    <w:p w14:paraId="2FA2F6C5" w14:textId="5C62DB79" w:rsidR="00CD740F" w:rsidRPr="003811B4" w:rsidRDefault="00CD740F" w:rsidP="00B11AE2">
      <w:pPr>
        <w:jc w:val="left"/>
        <w:rPr>
          <w:rFonts w:ascii="Times New Roman" w:hAnsi="Times New Roman"/>
          <w:b/>
          <w:sz w:val="28"/>
          <w:szCs w:val="28"/>
        </w:rPr>
      </w:pPr>
      <w:r w:rsidRPr="003811B4">
        <w:rPr>
          <w:rFonts w:ascii="Times New Roman" w:hAnsi="Times New Roman"/>
          <w:b/>
          <w:sz w:val="28"/>
          <w:szCs w:val="28"/>
        </w:rPr>
        <w:t>Biographical notes</w:t>
      </w:r>
    </w:p>
    <w:p w14:paraId="19E1A7D4" w14:textId="77777777" w:rsidR="00CD740F" w:rsidRDefault="00CD740F" w:rsidP="00B11AE2">
      <w:pPr>
        <w:jc w:val="left"/>
        <w:rPr>
          <w:rFonts w:ascii="Times New Roman" w:hAnsi="Times New Roman"/>
          <w:sz w:val="24"/>
          <w:szCs w:val="24"/>
        </w:rPr>
      </w:pPr>
    </w:p>
    <w:p w14:paraId="1A48EB06" w14:textId="32A31DB5" w:rsidR="00CD740F" w:rsidRPr="00EA6406" w:rsidRDefault="00CD740F" w:rsidP="00B11AE2">
      <w:pPr>
        <w:jc w:val="left"/>
        <w:rPr>
          <w:rFonts w:ascii="Times New Roman" w:hAnsi="Times New Roman"/>
        </w:rPr>
      </w:pPr>
      <w:r w:rsidRPr="006549AB">
        <w:rPr>
          <w:rFonts w:ascii="Times New Roman" w:hAnsi="Times New Roman"/>
          <w:b/>
          <w:bCs/>
          <w:sz w:val="24"/>
          <w:szCs w:val="24"/>
        </w:rPr>
        <w:t>Gabriella Berloffa</w:t>
      </w:r>
      <w:r w:rsidRPr="003811B4">
        <w:rPr>
          <w:rFonts w:ascii="Times New Roman" w:hAnsi="Times New Roman"/>
          <w:sz w:val="24"/>
          <w:szCs w:val="24"/>
        </w:rPr>
        <w:t>, full professor of economics at the Department of Economics and Management, University of Trento (Italy). Recent publications include:</w:t>
      </w:r>
      <w:r w:rsidR="006549AB">
        <w:rPr>
          <w:rFonts w:ascii="Times New Roman" w:hAnsi="Times New Roman"/>
          <w:sz w:val="24"/>
          <w:szCs w:val="24"/>
        </w:rPr>
        <w:t xml:space="preserve"> </w:t>
      </w:r>
      <w:r w:rsidR="00B53B20">
        <w:rPr>
          <w:rFonts w:ascii="Times New Roman" w:hAnsi="Times New Roman"/>
        </w:rPr>
        <w:t>Berloffa</w:t>
      </w:r>
      <w:r>
        <w:rPr>
          <w:rFonts w:ascii="Times New Roman" w:hAnsi="Times New Roman"/>
        </w:rPr>
        <w:t xml:space="preserve"> G., Matteazzi E.,</w:t>
      </w:r>
      <w:r w:rsidRPr="00EA6406">
        <w:rPr>
          <w:rFonts w:ascii="Times New Roman" w:hAnsi="Times New Roman"/>
        </w:rPr>
        <w:t xml:space="preserve"> Şandor</w:t>
      </w:r>
      <w:r>
        <w:rPr>
          <w:rFonts w:ascii="Times New Roman" w:hAnsi="Times New Roman"/>
        </w:rPr>
        <w:t xml:space="preserve"> A., Villa P. (2019), </w:t>
      </w:r>
      <w:r w:rsidRPr="00EA6406">
        <w:rPr>
          <w:rFonts w:ascii="Times New Roman" w:hAnsi="Times New Roman"/>
        </w:rPr>
        <w:t xml:space="preserve">The quality of employment in the early labour market experience of young Europeans, </w:t>
      </w:r>
      <w:r w:rsidRPr="00EA6406">
        <w:rPr>
          <w:rFonts w:ascii="Times New Roman" w:hAnsi="Times New Roman"/>
          <w:i/>
        </w:rPr>
        <w:t>Cambridge Journal of Economics</w:t>
      </w:r>
      <w:r w:rsidRPr="00EA6406">
        <w:rPr>
          <w:rFonts w:ascii="Times New Roman" w:hAnsi="Times New Roman"/>
        </w:rPr>
        <w:t>, 43</w:t>
      </w:r>
      <w:r>
        <w:rPr>
          <w:rFonts w:ascii="Times New Roman" w:hAnsi="Times New Roman"/>
        </w:rPr>
        <w:t>, n.</w:t>
      </w:r>
      <w:r w:rsidRPr="00EA6406">
        <w:rPr>
          <w:rFonts w:ascii="Times New Roman" w:hAnsi="Times New Roman"/>
        </w:rPr>
        <w:t>6</w:t>
      </w:r>
      <w:r>
        <w:rPr>
          <w:rFonts w:ascii="Times New Roman" w:hAnsi="Times New Roman"/>
        </w:rPr>
        <w:t>, pp.</w:t>
      </w:r>
      <w:r w:rsidRPr="00EA6406">
        <w:rPr>
          <w:rFonts w:ascii="Times New Roman" w:hAnsi="Times New Roman"/>
        </w:rPr>
        <w:t>1549-1575</w:t>
      </w:r>
    </w:p>
    <w:p w14:paraId="7A6CF43C" w14:textId="77777777" w:rsidR="00CD740F" w:rsidRPr="00EA6406" w:rsidRDefault="00CD740F" w:rsidP="00B11AE2">
      <w:pPr>
        <w:ind w:left="720" w:hanging="720"/>
        <w:jc w:val="left"/>
        <w:rPr>
          <w:rFonts w:ascii="Times New Roman" w:hAnsi="Times New Roman"/>
          <w:color w:val="000000"/>
        </w:rPr>
      </w:pPr>
      <w:r w:rsidRPr="00101A04">
        <w:rPr>
          <w:rFonts w:ascii="Times New Roman" w:hAnsi="Times New Roman"/>
          <w:color w:val="000000"/>
        </w:rPr>
        <w:t>Email: gabriella.berloffa@unitn.it</w:t>
      </w:r>
    </w:p>
    <w:p w14:paraId="40E289D6" w14:textId="77777777" w:rsidR="00CD740F" w:rsidRPr="00EA6406" w:rsidRDefault="00CD740F" w:rsidP="00B11AE2">
      <w:pPr>
        <w:jc w:val="left"/>
        <w:rPr>
          <w:rFonts w:ascii="Times New Roman" w:hAnsi="Times New Roman"/>
        </w:rPr>
      </w:pPr>
    </w:p>
    <w:p w14:paraId="12E93581" w14:textId="77777777" w:rsidR="00EF162D" w:rsidRPr="00E86E0E" w:rsidRDefault="00EF162D" w:rsidP="00B11AE2">
      <w:pPr>
        <w:jc w:val="left"/>
        <w:rPr>
          <w:rFonts w:ascii="Times New Roman" w:hAnsi="Times New Roman"/>
        </w:rPr>
      </w:pPr>
      <w:r w:rsidRPr="006549AB">
        <w:rPr>
          <w:rFonts w:ascii="Times New Roman" w:hAnsi="Times New Roman"/>
          <w:b/>
          <w:bCs/>
          <w:sz w:val="24"/>
          <w:szCs w:val="24"/>
        </w:rPr>
        <w:t>Alina Şandor</w:t>
      </w:r>
      <w:r w:rsidRPr="28F7D420">
        <w:rPr>
          <w:rFonts w:ascii="Times New Roman" w:hAnsi="Times New Roman"/>
          <w:sz w:val="24"/>
          <w:szCs w:val="24"/>
        </w:rPr>
        <w:t>, economist at the Joseph Rowntree Foundation (UK). Recent publications include:</w:t>
      </w:r>
      <w:r>
        <w:rPr>
          <w:rFonts w:ascii="Times New Roman" w:hAnsi="Times New Roman"/>
          <w:sz w:val="24"/>
          <w:szCs w:val="24"/>
        </w:rPr>
        <w:t xml:space="preserve"> </w:t>
      </w:r>
      <w:r>
        <w:rPr>
          <w:rFonts w:ascii="Times New Roman" w:hAnsi="Times New Roman"/>
        </w:rPr>
        <w:t>Berloffa G., Matteazzi E.,</w:t>
      </w:r>
      <w:r w:rsidRPr="00EA6406">
        <w:rPr>
          <w:rFonts w:ascii="Times New Roman" w:hAnsi="Times New Roman"/>
        </w:rPr>
        <w:t xml:space="preserve"> Şandor</w:t>
      </w:r>
      <w:r>
        <w:rPr>
          <w:rFonts w:ascii="Times New Roman" w:hAnsi="Times New Roman"/>
        </w:rPr>
        <w:t xml:space="preserve"> A., Villa P. (2016), </w:t>
      </w:r>
      <w:r w:rsidRPr="00E86E0E">
        <w:rPr>
          <w:rFonts w:ascii="Times New Roman" w:hAnsi="Times New Roman"/>
        </w:rPr>
        <w:t>Youth employment security and labour market institutions: a dynamic perspective</w:t>
      </w:r>
      <w:r>
        <w:rPr>
          <w:rFonts w:ascii="Times New Roman" w:hAnsi="Times New Roman"/>
        </w:rPr>
        <w:t xml:space="preserve">, </w:t>
      </w:r>
      <w:r w:rsidRPr="00E86E0E">
        <w:rPr>
          <w:rFonts w:ascii="Times New Roman" w:hAnsi="Times New Roman"/>
          <w:i/>
        </w:rPr>
        <w:t>International Labour Review</w:t>
      </w:r>
      <w:r w:rsidRPr="00E86E0E">
        <w:rPr>
          <w:rFonts w:ascii="Times New Roman" w:hAnsi="Times New Roman"/>
        </w:rPr>
        <w:t>, 155</w:t>
      </w:r>
      <w:r>
        <w:rPr>
          <w:rFonts w:ascii="Times New Roman" w:hAnsi="Times New Roman"/>
        </w:rPr>
        <w:t>, n.</w:t>
      </w:r>
      <w:r w:rsidRPr="00E86E0E">
        <w:rPr>
          <w:rFonts w:ascii="Times New Roman" w:hAnsi="Times New Roman"/>
        </w:rPr>
        <w:t>4</w:t>
      </w:r>
      <w:r>
        <w:rPr>
          <w:rFonts w:ascii="Times New Roman" w:hAnsi="Times New Roman"/>
        </w:rPr>
        <w:t>, pp651–678</w:t>
      </w:r>
    </w:p>
    <w:p w14:paraId="0F5324E6" w14:textId="77777777" w:rsidR="00B11AE2" w:rsidRPr="00EA6406" w:rsidRDefault="00B11AE2" w:rsidP="00B11AE2">
      <w:pPr>
        <w:ind w:left="720" w:hanging="720"/>
        <w:jc w:val="left"/>
        <w:rPr>
          <w:rFonts w:ascii="Times New Roman" w:hAnsi="Times New Roman"/>
          <w:color w:val="000000"/>
        </w:rPr>
      </w:pPr>
      <w:r w:rsidRPr="00101A04">
        <w:rPr>
          <w:rFonts w:ascii="Times New Roman" w:hAnsi="Times New Roman"/>
          <w:color w:val="000000"/>
        </w:rPr>
        <w:t>Email: alina.sandor@jrf.org.uk</w:t>
      </w:r>
    </w:p>
    <w:p w14:paraId="0BA9E934" w14:textId="55E36677" w:rsidR="00CD740F" w:rsidRPr="00EA6406" w:rsidRDefault="00CD740F" w:rsidP="00B11AE2">
      <w:pPr>
        <w:jc w:val="left"/>
        <w:rPr>
          <w:rFonts w:ascii="Times New Roman" w:hAnsi="Times New Roman"/>
          <w:color w:val="000000" w:themeColor="text1"/>
        </w:rPr>
      </w:pPr>
      <w:r w:rsidRPr="006549AB">
        <w:rPr>
          <w:rFonts w:ascii="Times New Roman" w:hAnsi="Times New Roman"/>
          <w:b/>
          <w:bCs/>
          <w:sz w:val="24"/>
          <w:szCs w:val="24"/>
        </w:rPr>
        <w:t>Mark Smith</w:t>
      </w:r>
      <w:r w:rsidRPr="003811B4">
        <w:rPr>
          <w:rFonts w:ascii="Times New Roman" w:hAnsi="Times New Roman"/>
          <w:sz w:val="24"/>
          <w:szCs w:val="24"/>
        </w:rPr>
        <w:t>,</w:t>
      </w:r>
      <w:r>
        <w:rPr>
          <w:rFonts w:ascii="Times New Roman" w:hAnsi="Times New Roman"/>
          <w:sz w:val="24"/>
          <w:szCs w:val="24"/>
          <w:shd w:val="clear" w:color="auto" w:fill="FFFFFF"/>
        </w:rPr>
        <w:t xml:space="preserve"> </w:t>
      </w:r>
      <w:r>
        <w:rPr>
          <w:rStyle w:val="lt-line-clampline"/>
          <w:rFonts w:ascii="Times New Roman" w:hAnsi="Times New Roman"/>
          <w:sz w:val="24"/>
          <w:szCs w:val="24"/>
          <w:bdr w:val="none" w:sz="0" w:space="0" w:color="auto" w:frame="1"/>
          <w:shd w:val="clear" w:color="auto" w:fill="FFFFFF"/>
        </w:rPr>
        <w:t xml:space="preserve">Professor and </w:t>
      </w:r>
      <w:r w:rsidRPr="003811B4">
        <w:rPr>
          <w:rStyle w:val="lt-line-clampline"/>
          <w:rFonts w:ascii="Times New Roman" w:hAnsi="Times New Roman"/>
          <w:sz w:val="24"/>
          <w:szCs w:val="24"/>
          <w:bdr w:val="none" w:sz="0" w:space="0" w:color="auto" w:frame="1"/>
          <w:shd w:val="clear" w:color="auto" w:fill="FFFFFF"/>
        </w:rPr>
        <w:t>Director at University of Stellenbosch Business School (ZA)</w:t>
      </w:r>
      <w:r w:rsidRPr="003811B4">
        <w:rPr>
          <w:rFonts w:ascii="Times New Roman" w:hAnsi="Times New Roman"/>
          <w:sz w:val="24"/>
          <w:szCs w:val="24"/>
        </w:rPr>
        <w:t>,</w:t>
      </w:r>
      <w:r>
        <w:rPr>
          <w:rFonts w:ascii="Times New Roman" w:hAnsi="Times New Roman"/>
          <w:sz w:val="24"/>
          <w:szCs w:val="24"/>
        </w:rPr>
        <w:t xml:space="preserve"> </w:t>
      </w:r>
      <w:r>
        <w:rPr>
          <w:rStyle w:val="lt-line-clampline"/>
          <w:rFonts w:ascii="Times New Roman" w:hAnsi="Times New Roman"/>
          <w:sz w:val="24"/>
          <w:szCs w:val="24"/>
          <w:bdr w:val="none" w:sz="0" w:space="0" w:color="auto" w:frame="1"/>
          <w:shd w:val="clear" w:color="auto" w:fill="FFFFFF"/>
        </w:rPr>
        <w:t>and</w:t>
      </w:r>
      <w:r w:rsidRPr="003811B4">
        <w:rPr>
          <w:rStyle w:val="lt-line-clampline"/>
          <w:rFonts w:ascii="Times New Roman" w:hAnsi="Times New Roman"/>
          <w:sz w:val="24"/>
          <w:szCs w:val="24"/>
          <w:bdr w:val="none" w:sz="0" w:space="0" w:color="auto" w:frame="1"/>
          <w:shd w:val="clear" w:color="auto" w:fill="FFFFFF"/>
        </w:rPr>
        <w:t xml:space="preserve"> Professor Human Resource Management at Grenoble Ecole de Management (FR).</w:t>
      </w:r>
      <w:r w:rsidRPr="003811B4">
        <w:rPr>
          <w:rStyle w:val="lt-line-clampline"/>
          <w:rFonts w:ascii="Segoe UI" w:hAnsi="Segoe UI" w:cs="Segoe UI"/>
          <w:sz w:val="21"/>
          <w:szCs w:val="21"/>
          <w:bdr w:val="none" w:sz="0" w:space="0" w:color="auto" w:frame="1"/>
          <w:shd w:val="clear" w:color="auto" w:fill="FFFFFF"/>
        </w:rPr>
        <w:t xml:space="preserve"> </w:t>
      </w:r>
      <w:r w:rsidRPr="003811B4">
        <w:rPr>
          <w:rFonts w:ascii="Times New Roman" w:hAnsi="Times New Roman"/>
          <w:sz w:val="24"/>
          <w:szCs w:val="24"/>
        </w:rPr>
        <w:t>Recent publications include:</w:t>
      </w:r>
      <w:r w:rsidR="006549AB">
        <w:rPr>
          <w:rFonts w:ascii="Times New Roman" w:hAnsi="Times New Roman"/>
          <w:sz w:val="24"/>
          <w:szCs w:val="24"/>
        </w:rPr>
        <w:t xml:space="preserve"> </w:t>
      </w:r>
      <w:r w:rsidR="00B53B20">
        <w:rPr>
          <w:rFonts w:ascii="Times New Roman" w:hAnsi="Times New Roman"/>
          <w:color w:val="000000" w:themeColor="text1"/>
          <w:shd w:val="clear" w:color="auto" w:fill="FFFFFF"/>
        </w:rPr>
        <w:t>Russell</w:t>
      </w:r>
      <w:r w:rsidR="007E7812">
        <w:rPr>
          <w:rFonts w:ascii="Times New Roman" w:hAnsi="Times New Roman"/>
          <w:color w:val="000000" w:themeColor="text1"/>
          <w:shd w:val="clear" w:color="auto" w:fill="FFFFFF"/>
        </w:rPr>
        <w:t xml:space="preserve"> H., Leschke, J., Smith, M. (2020), </w:t>
      </w:r>
      <w:r w:rsidRPr="003811B4">
        <w:rPr>
          <w:rFonts w:ascii="Times New Roman" w:hAnsi="Times New Roman"/>
          <w:color w:val="000000" w:themeColor="text1"/>
          <w:shd w:val="clear" w:color="auto" w:fill="FFFFFF"/>
        </w:rPr>
        <w:t xml:space="preserve">Balancing flexibility and security in Europe? The impact of unemployment on young </w:t>
      </w:r>
      <w:r w:rsidR="007E7812">
        <w:rPr>
          <w:rFonts w:ascii="Times New Roman" w:hAnsi="Times New Roman"/>
          <w:color w:val="000000" w:themeColor="text1"/>
          <w:shd w:val="clear" w:color="auto" w:fill="FFFFFF"/>
        </w:rPr>
        <w:t>peoples’ subjective well-being,</w:t>
      </w:r>
      <w:r w:rsidRPr="003811B4">
        <w:rPr>
          <w:rFonts w:ascii="Times New Roman" w:hAnsi="Times New Roman"/>
          <w:color w:val="000000" w:themeColor="text1"/>
          <w:shd w:val="clear" w:color="auto" w:fill="FFFFFF"/>
        </w:rPr>
        <w:t xml:space="preserve"> </w:t>
      </w:r>
      <w:r w:rsidRPr="003811B4">
        <w:rPr>
          <w:rFonts w:ascii="Times New Roman" w:hAnsi="Times New Roman"/>
          <w:i/>
          <w:iCs/>
          <w:color w:val="000000" w:themeColor="text1"/>
          <w:shd w:val="clear" w:color="auto" w:fill="FFFFFF"/>
        </w:rPr>
        <w:t>European Journal of Industrial Relations</w:t>
      </w:r>
      <w:r w:rsidRPr="003811B4">
        <w:rPr>
          <w:rFonts w:ascii="Times New Roman" w:hAnsi="Times New Roman"/>
          <w:color w:val="000000" w:themeColor="text1"/>
          <w:shd w:val="clear" w:color="auto" w:fill="FFFFFF"/>
        </w:rPr>
        <w:t xml:space="preserve">, </w:t>
      </w:r>
      <w:r w:rsidRPr="007E7812">
        <w:rPr>
          <w:rFonts w:ascii="Times New Roman" w:hAnsi="Times New Roman"/>
          <w:iCs/>
          <w:color w:val="000000" w:themeColor="text1"/>
          <w:shd w:val="clear" w:color="auto" w:fill="FFFFFF"/>
        </w:rPr>
        <w:t>26</w:t>
      </w:r>
      <w:r w:rsidR="007E7812">
        <w:rPr>
          <w:rFonts w:ascii="Times New Roman" w:hAnsi="Times New Roman"/>
          <w:iCs/>
          <w:color w:val="000000" w:themeColor="text1"/>
          <w:shd w:val="clear" w:color="auto" w:fill="FFFFFF"/>
        </w:rPr>
        <w:t>, n.</w:t>
      </w:r>
      <w:r w:rsidRPr="007E7812">
        <w:rPr>
          <w:rFonts w:ascii="Times New Roman" w:hAnsi="Times New Roman"/>
          <w:color w:val="000000" w:themeColor="text1"/>
          <w:shd w:val="clear" w:color="auto" w:fill="FFFFFF"/>
        </w:rPr>
        <w:t>3</w:t>
      </w:r>
      <w:r w:rsidR="007E7812">
        <w:rPr>
          <w:rFonts w:ascii="Times New Roman" w:hAnsi="Times New Roman"/>
          <w:color w:val="000000" w:themeColor="text1"/>
          <w:shd w:val="clear" w:color="auto" w:fill="FFFFFF"/>
        </w:rPr>
        <w:t>, pp.</w:t>
      </w:r>
      <w:r w:rsidRPr="003811B4">
        <w:rPr>
          <w:rFonts w:ascii="Times New Roman" w:hAnsi="Times New Roman"/>
          <w:color w:val="000000" w:themeColor="text1"/>
          <w:shd w:val="clear" w:color="auto" w:fill="FFFFFF"/>
        </w:rPr>
        <w:t>243-261</w:t>
      </w:r>
    </w:p>
    <w:p w14:paraId="10642744" w14:textId="6DF57499" w:rsidR="00CD740F" w:rsidRDefault="00CD740F" w:rsidP="00B11AE2">
      <w:pPr>
        <w:jc w:val="left"/>
        <w:rPr>
          <w:rFonts w:ascii="Times New Roman" w:hAnsi="Times New Roman"/>
          <w:color w:val="000000"/>
        </w:rPr>
      </w:pPr>
      <w:r w:rsidRPr="00101A04">
        <w:rPr>
          <w:rFonts w:ascii="Times New Roman" w:hAnsi="Times New Roman"/>
          <w:color w:val="000000"/>
        </w:rPr>
        <w:t>Email: mark.smith@sun.ac.za</w:t>
      </w:r>
    </w:p>
    <w:p w14:paraId="6D431818" w14:textId="77777777" w:rsidR="00CD740F" w:rsidRPr="00EA6406" w:rsidRDefault="00CD740F" w:rsidP="00B11AE2">
      <w:pPr>
        <w:jc w:val="left"/>
        <w:rPr>
          <w:rFonts w:ascii="Times New Roman" w:hAnsi="Times New Roman"/>
        </w:rPr>
      </w:pPr>
    </w:p>
    <w:p w14:paraId="1EF9BC0E" w14:textId="77777777" w:rsidR="00CD740F" w:rsidRPr="00EA6406" w:rsidRDefault="00CD740F" w:rsidP="00B11AE2">
      <w:pPr>
        <w:ind w:left="720" w:hanging="720"/>
        <w:jc w:val="left"/>
        <w:rPr>
          <w:rFonts w:ascii="Times New Roman" w:hAnsi="Times New Roman"/>
        </w:rPr>
      </w:pPr>
    </w:p>
    <w:p w14:paraId="1BE10D7D" w14:textId="06549706" w:rsidR="00CD740F" w:rsidRDefault="00CD740F" w:rsidP="00B11AE2">
      <w:pPr>
        <w:jc w:val="left"/>
        <w:rPr>
          <w:rFonts w:ascii="Times New Roman" w:hAnsi="Times New Roman"/>
          <w:color w:val="000000"/>
        </w:rPr>
      </w:pPr>
      <w:r w:rsidRPr="006549AB">
        <w:rPr>
          <w:rFonts w:ascii="Times New Roman" w:hAnsi="Times New Roman"/>
          <w:b/>
          <w:bCs/>
          <w:sz w:val="24"/>
          <w:szCs w:val="24"/>
        </w:rPr>
        <w:t>Paola Villa</w:t>
      </w:r>
      <w:r w:rsidRPr="003811B4">
        <w:rPr>
          <w:rFonts w:ascii="Times New Roman" w:hAnsi="Times New Roman"/>
          <w:sz w:val="24"/>
          <w:szCs w:val="24"/>
        </w:rPr>
        <w:t>, full professor of economics at the Department of Economics and Management, University of Trento (Italy). Recent publications include:</w:t>
      </w:r>
      <w:r w:rsidR="006549AB">
        <w:rPr>
          <w:rFonts w:ascii="Times New Roman" w:hAnsi="Times New Roman"/>
          <w:sz w:val="24"/>
          <w:szCs w:val="24"/>
        </w:rPr>
        <w:t xml:space="preserve"> </w:t>
      </w:r>
      <w:r w:rsidR="00B53B20">
        <w:rPr>
          <w:rFonts w:ascii="Times New Roman" w:hAnsi="Times New Roman"/>
          <w:color w:val="000000"/>
        </w:rPr>
        <w:t>O’Reilly, J.,</w:t>
      </w:r>
      <w:r w:rsidRPr="00EA6406">
        <w:rPr>
          <w:rFonts w:ascii="Times New Roman" w:hAnsi="Times New Roman"/>
          <w:color w:val="000000"/>
        </w:rPr>
        <w:t xml:space="preserve"> Leschke</w:t>
      </w:r>
      <w:r w:rsidR="00B53B20">
        <w:rPr>
          <w:rFonts w:ascii="Times New Roman" w:hAnsi="Times New Roman"/>
          <w:color w:val="000000"/>
        </w:rPr>
        <w:t xml:space="preserve"> J., Ortlieb R.,</w:t>
      </w:r>
      <w:r w:rsidRPr="00EA6406">
        <w:rPr>
          <w:rFonts w:ascii="Times New Roman" w:hAnsi="Times New Roman"/>
          <w:color w:val="000000"/>
        </w:rPr>
        <w:t xml:space="preserve"> Seeleib-Kaiser</w:t>
      </w:r>
      <w:r w:rsidR="00B53B20">
        <w:rPr>
          <w:rFonts w:ascii="Times New Roman" w:hAnsi="Times New Roman"/>
          <w:color w:val="000000"/>
        </w:rPr>
        <w:t xml:space="preserve"> M.</w:t>
      </w:r>
      <w:r w:rsidRPr="00EA6406">
        <w:rPr>
          <w:rFonts w:ascii="Times New Roman" w:hAnsi="Times New Roman"/>
          <w:color w:val="000000"/>
        </w:rPr>
        <w:t xml:space="preserve">, Villa </w:t>
      </w:r>
      <w:r w:rsidR="00B53B20">
        <w:rPr>
          <w:rFonts w:ascii="Times New Roman" w:hAnsi="Times New Roman"/>
          <w:color w:val="000000"/>
        </w:rPr>
        <w:t xml:space="preserve">P. </w:t>
      </w:r>
      <w:r w:rsidRPr="00EA6406">
        <w:rPr>
          <w:rFonts w:ascii="Times New Roman" w:hAnsi="Times New Roman"/>
          <w:color w:val="000000"/>
        </w:rPr>
        <w:t>(eds.) (2019)</w:t>
      </w:r>
      <w:r w:rsidR="00B53B20">
        <w:rPr>
          <w:rFonts w:ascii="Times New Roman" w:hAnsi="Times New Roman"/>
          <w:color w:val="000000"/>
        </w:rPr>
        <w:t>,</w:t>
      </w:r>
      <w:r w:rsidRPr="00EA6406">
        <w:rPr>
          <w:rFonts w:ascii="Times New Roman" w:hAnsi="Times New Roman"/>
          <w:color w:val="000000"/>
        </w:rPr>
        <w:t xml:space="preserve"> </w:t>
      </w:r>
      <w:r w:rsidRPr="00EA6406">
        <w:rPr>
          <w:rFonts w:ascii="Times New Roman" w:hAnsi="Times New Roman"/>
          <w:i/>
          <w:color w:val="000000"/>
        </w:rPr>
        <w:t>Youth Labor in Transition. Inequalities, Mobilities and Policies in Europe</w:t>
      </w:r>
      <w:r w:rsidRPr="00EA6406">
        <w:rPr>
          <w:rFonts w:ascii="Times New Roman" w:hAnsi="Times New Roman"/>
          <w:color w:val="000000"/>
        </w:rPr>
        <w:t>, New York</w:t>
      </w:r>
      <w:r w:rsidR="00B53B20">
        <w:rPr>
          <w:rFonts w:ascii="Times New Roman" w:hAnsi="Times New Roman"/>
          <w:color w:val="000000"/>
        </w:rPr>
        <w:t>, Oxford University Press</w:t>
      </w:r>
    </w:p>
    <w:p w14:paraId="23CF4303" w14:textId="77777777" w:rsidR="00CD740F" w:rsidRPr="00EA6406" w:rsidRDefault="00CD740F" w:rsidP="00B11AE2">
      <w:pPr>
        <w:ind w:left="720" w:hanging="720"/>
        <w:jc w:val="left"/>
        <w:rPr>
          <w:rFonts w:ascii="Times New Roman" w:hAnsi="Times New Roman"/>
          <w:color w:val="000000"/>
        </w:rPr>
      </w:pPr>
      <w:r w:rsidRPr="00101A04">
        <w:rPr>
          <w:rFonts w:ascii="Times New Roman" w:hAnsi="Times New Roman"/>
          <w:color w:val="000000"/>
        </w:rPr>
        <w:t>Email: paola.villa@unitn.it</w:t>
      </w:r>
    </w:p>
    <w:p w14:paraId="555AB0AD" w14:textId="77777777" w:rsidR="00CD740F" w:rsidRDefault="00CD740F" w:rsidP="00B11AE2">
      <w:pPr>
        <w:ind w:left="-567"/>
        <w:jc w:val="left"/>
        <w:rPr>
          <w:sz w:val="20"/>
        </w:rPr>
      </w:pPr>
    </w:p>
    <w:p w14:paraId="7C4DFC90" w14:textId="77777777" w:rsidR="00752068" w:rsidRPr="00085432" w:rsidRDefault="00752068" w:rsidP="00B11AE2">
      <w:pPr>
        <w:ind w:left="-567"/>
        <w:jc w:val="left"/>
        <w:rPr>
          <w:sz w:val="20"/>
        </w:rPr>
      </w:pPr>
    </w:p>
    <w:sectPr w:rsidR="00752068" w:rsidRPr="00085432" w:rsidSect="00E703F0">
      <w:pgSz w:w="11906" w:h="16838"/>
      <w:pgMar w:top="1361" w:right="1134" w:bottom="136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659F5" w14:textId="77777777" w:rsidR="00F60F8D" w:rsidRDefault="00F60F8D" w:rsidP="007537DB">
      <w:r>
        <w:separator/>
      </w:r>
    </w:p>
  </w:endnote>
  <w:endnote w:type="continuationSeparator" w:id="0">
    <w:p w14:paraId="7FCFC8B6" w14:textId="77777777" w:rsidR="00F60F8D" w:rsidRDefault="00F60F8D" w:rsidP="00753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Print">
    <w:panose1 w:val="02000600000000000000"/>
    <w:charset w:val="00"/>
    <w:family w:val="auto"/>
    <w:pitch w:val="variable"/>
    <w:sig w:usb0="0000028F"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B54ED" w14:textId="05EB9B58" w:rsidR="00477DB0" w:rsidRDefault="00477DB0">
    <w:pPr>
      <w:pStyle w:val="Pidipagina"/>
    </w:pPr>
    <w:r>
      <w:fldChar w:fldCharType="begin"/>
    </w:r>
    <w:r>
      <w:instrText>PAGE   \* MERGEFORMAT</w:instrText>
    </w:r>
    <w:r>
      <w:fldChar w:fldCharType="separate"/>
    </w:r>
    <w:r w:rsidR="00A460E0" w:rsidRPr="00A460E0">
      <w:rPr>
        <w:noProof/>
        <w:lang w:val="it-IT"/>
      </w:rPr>
      <w:t>1</w:t>
    </w:r>
    <w:r>
      <w:rPr>
        <w:noProof/>
        <w:lang w:val="it-IT"/>
      </w:rPr>
      <w:fldChar w:fldCharType="end"/>
    </w:r>
  </w:p>
  <w:p w14:paraId="1B65F1F9" w14:textId="77777777" w:rsidR="00477DB0" w:rsidRDefault="00477DB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CC0F2" w14:textId="77777777" w:rsidR="00F60F8D" w:rsidRDefault="00F60F8D" w:rsidP="007537DB">
      <w:r>
        <w:separator/>
      </w:r>
    </w:p>
  </w:footnote>
  <w:footnote w:type="continuationSeparator" w:id="0">
    <w:p w14:paraId="2F02DA2F" w14:textId="77777777" w:rsidR="00F60F8D" w:rsidRDefault="00F60F8D" w:rsidP="007537DB">
      <w:r>
        <w:continuationSeparator/>
      </w:r>
    </w:p>
  </w:footnote>
  <w:footnote w:id="1">
    <w:p w14:paraId="6212094E" w14:textId="1FDF2EB3" w:rsidR="00477DB0" w:rsidRPr="00160882" w:rsidRDefault="00477DB0" w:rsidP="00160882">
      <w:pPr>
        <w:pStyle w:val="Testonotaapidipagina"/>
        <w:jc w:val="both"/>
        <w:rPr>
          <w:rFonts w:ascii="Times New Roman" w:hAnsi="Times New Roman"/>
        </w:rPr>
      </w:pPr>
      <w:r w:rsidRPr="00160882">
        <w:rPr>
          <w:rStyle w:val="Rimandonotaapidipagina"/>
          <w:rFonts w:ascii="Times New Roman" w:hAnsi="Times New Roman"/>
        </w:rPr>
        <w:footnoteRef/>
      </w:r>
      <w:r w:rsidRPr="00160882">
        <w:rPr>
          <w:rFonts w:ascii="Times New Roman" w:hAnsi="Times New Roman"/>
        </w:rPr>
        <w:t xml:space="preserve"> See </w:t>
      </w:r>
      <w:r>
        <w:rPr>
          <w:rFonts w:ascii="Times New Roman" w:hAnsi="Times New Roman"/>
        </w:rPr>
        <w:t xml:space="preserve">Berloffa </w:t>
      </w:r>
      <w:r w:rsidRPr="00154223">
        <w:rPr>
          <w:rFonts w:ascii="Times New Roman" w:hAnsi="Times New Roman"/>
          <w:i/>
        </w:rPr>
        <w:t>et al.</w:t>
      </w:r>
      <w:r>
        <w:rPr>
          <w:rFonts w:ascii="Times New Roman" w:hAnsi="Times New Roman"/>
        </w:rPr>
        <w:t xml:space="preserve"> (2019b) for a detailed presentation of this new approach, and its implementation for the analysis of existing differences in individuals’ employment quality by gender, education and labour market institutions.</w:t>
      </w:r>
    </w:p>
  </w:footnote>
  <w:footnote w:id="2">
    <w:p w14:paraId="18FB1522" w14:textId="77777777" w:rsidR="00477DB0" w:rsidRPr="002818CA" w:rsidRDefault="00477DB0" w:rsidP="00890FBB">
      <w:pPr>
        <w:pStyle w:val="Testonotaapidipagina"/>
        <w:jc w:val="both"/>
        <w:rPr>
          <w:rFonts w:ascii="Times New Roman" w:hAnsi="Times New Roman"/>
        </w:rPr>
      </w:pPr>
      <w:r w:rsidRPr="002818CA">
        <w:rPr>
          <w:rStyle w:val="Rimandonotaapidipagina"/>
          <w:rFonts w:ascii="Times New Roman" w:hAnsi="Times New Roman"/>
        </w:rPr>
        <w:footnoteRef/>
      </w:r>
      <w:r w:rsidRPr="002818CA">
        <w:rPr>
          <w:rFonts w:ascii="Times New Roman" w:hAnsi="Times New Roman"/>
        </w:rPr>
        <w:t xml:space="preserve"> </w:t>
      </w:r>
      <w:r>
        <w:rPr>
          <w:rFonts w:ascii="Times New Roman" w:hAnsi="Times New Roman"/>
        </w:rPr>
        <w:t>I</w:t>
      </w:r>
      <w:r w:rsidRPr="002818CA">
        <w:rPr>
          <w:rFonts w:ascii="Times New Roman" w:hAnsi="Times New Roman"/>
        </w:rPr>
        <w:t>ndividuals who were inactive for the entire length of the sequence</w:t>
      </w:r>
      <w:r>
        <w:rPr>
          <w:rFonts w:ascii="Times New Roman" w:hAnsi="Times New Roman"/>
        </w:rPr>
        <w:t xml:space="preserve"> (</w:t>
      </w:r>
      <w:r w:rsidRPr="002818CA">
        <w:rPr>
          <w:rFonts w:ascii="Times New Roman" w:hAnsi="Times New Roman"/>
        </w:rPr>
        <w:t>4.5% of the sample</w:t>
      </w:r>
      <w:r>
        <w:rPr>
          <w:rFonts w:ascii="Times New Roman" w:hAnsi="Times New Roman"/>
        </w:rPr>
        <w:t>) are excluded.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0477DB0" w14:paraId="5FB046BC" w14:textId="77777777" w:rsidTr="0663DE36">
      <w:tc>
        <w:tcPr>
          <w:tcW w:w="3020" w:type="dxa"/>
        </w:tcPr>
        <w:p w14:paraId="44500010" w14:textId="23C6CA71" w:rsidR="00477DB0" w:rsidRDefault="00477DB0" w:rsidP="0663DE36">
          <w:pPr>
            <w:pStyle w:val="Intestazione"/>
            <w:ind w:left="-115"/>
            <w:jc w:val="left"/>
          </w:pPr>
        </w:p>
      </w:tc>
      <w:tc>
        <w:tcPr>
          <w:tcW w:w="3020" w:type="dxa"/>
        </w:tcPr>
        <w:p w14:paraId="795EBB03" w14:textId="37BC652B" w:rsidR="00477DB0" w:rsidRDefault="00477DB0" w:rsidP="0663DE36">
          <w:pPr>
            <w:pStyle w:val="Intestazione"/>
          </w:pPr>
        </w:p>
      </w:tc>
      <w:tc>
        <w:tcPr>
          <w:tcW w:w="3020" w:type="dxa"/>
        </w:tcPr>
        <w:p w14:paraId="6EC77BD8" w14:textId="1A802483" w:rsidR="00477DB0" w:rsidRDefault="00477DB0" w:rsidP="0663DE36">
          <w:pPr>
            <w:pStyle w:val="Intestazione"/>
            <w:ind w:right="-115"/>
            <w:jc w:val="right"/>
          </w:pPr>
        </w:p>
      </w:tc>
    </w:tr>
  </w:tbl>
  <w:p w14:paraId="54760A42" w14:textId="79D55684" w:rsidR="00477DB0" w:rsidRDefault="00477DB0" w:rsidP="0663DE3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705"/>
      <w:gridCol w:w="4705"/>
      <w:gridCol w:w="4705"/>
    </w:tblGrid>
    <w:tr w:rsidR="00477DB0" w14:paraId="68486B8C" w14:textId="77777777" w:rsidTr="0663DE36">
      <w:tc>
        <w:tcPr>
          <w:tcW w:w="4705" w:type="dxa"/>
        </w:tcPr>
        <w:p w14:paraId="14C64457" w14:textId="7FE96506" w:rsidR="00477DB0" w:rsidRDefault="00477DB0" w:rsidP="0663DE36">
          <w:pPr>
            <w:pStyle w:val="Intestazione"/>
            <w:ind w:left="-115"/>
            <w:jc w:val="left"/>
          </w:pPr>
        </w:p>
      </w:tc>
      <w:tc>
        <w:tcPr>
          <w:tcW w:w="4705" w:type="dxa"/>
        </w:tcPr>
        <w:p w14:paraId="23D34371" w14:textId="60E0484E" w:rsidR="00477DB0" w:rsidRDefault="00477DB0" w:rsidP="0663DE36">
          <w:pPr>
            <w:pStyle w:val="Intestazione"/>
          </w:pPr>
        </w:p>
      </w:tc>
      <w:tc>
        <w:tcPr>
          <w:tcW w:w="4705" w:type="dxa"/>
        </w:tcPr>
        <w:p w14:paraId="7E1294A6" w14:textId="7DA4039C" w:rsidR="00477DB0" w:rsidRDefault="00477DB0" w:rsidP="0663DE36">
          <w:pPr>
            <w:pStyle w:val="Intestazione"/>
            <w:ind w:right="-115"/>
            <w:jc w:val="right"/>
          </w:pPr>
        </w:p>
      </w:tc>
    </w:tr>
  </w:tbl>
  <w:p w14:paraId="04790B75" w14:textId="2168E9CE" w:rsidR="00477DB0" w:rsidRDefault="00477DB0" w:rsidP="0663DE36">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660E4"/>
    <w:multiLevelType w:val="hybridMultilevel"/>
    <w:tmpl w:val="9AFE73B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3A57704"/>
    <w:multiLevelType w:val="hybridMultilevel"/>
    <w:tmpl w:val="153C269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8BD6FBA"/>
    <w:multiLevelType w:val="hybridMultilevel"/>
    <w:tmpl w:val="18DE786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BEC0901"/>
    <w:multiLevelType w:val="hybridMultilevel"/>
    <w:tmpl w:val="850810BC"/>
    <w:lvl w:ilvl="0" w:tplc="68F27622">
      <w:start w:val="5"/>
      <w:numFmt w:val="bullet"/>
      <w:lvlText w:val="-"/>
      <w:lvlJc w:val="left"/>
      <w:pPr>
        <w:ind w:left="720" w:hanging="360"/>
      </w:pPr>
      <w:rPr>
        <w:rFonts w:ascii="Segoe Print" w:eastAsia="Calibri" w:hAnsi="Segoe Print" w:cs="Segoe Pri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CC0AA5"/>
    <w:multiLevelType w:val="hybridMultilevel"/>
    <w:tmpl w:val="F84ADE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0EF5BE2"/>
    <w:multiLevelType w:val="hybridMultilevel"/>
    <w:tmpl w:val="C8D890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61B3199"/>
    <w:multiLevelType w:val="hybridMultilevel"/>
    <w:tmpl w:val="614C2A62"/>
    <w:lvl w:ilvl="0" w:tplc="5074EE7A">
      <w:start w:val="2"/>
      <w:numFmt w:val="bullet"/>
      <w:lvlText w:val=""/>
      <w:lvlJc w:val="left"/>
      <w:pPr>
        <w:ind w:left="1080" w:hanging="360"/>
      </w:pPr>
      <w:rPr>
        <w:rFonts w:ascii="Wingdings" w:eastAsia="Calibri" w:hAnsi="Wingdings"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21A15240"/>
    <w:multiLevelType w:val="multilevel"/>
    <w:tmpl w:val="5E847A52"/>
    <w:lvl w:ilvl="0">
      <w:start w:val="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4"/>
      <w:numFmt w:val="decimal"/>
      <w:lvlText w:val="%3.2"/>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3D1526F"/>
    <w:multiLevelType w:val="hybridMultilevel"/>
    <w:tmpl w:val="0B8090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4F50531"/>
    <w:multiLevelType w:val="hybridMultilevel"/>
    <w:tmpl w:val="690A298A"/>
    <w:lvl w:ilvl="0" w:tplc="E6889AEA">
      <w:start w:val="2"/>
      <w:numFmt w:val="bullet"/>
      <w:lvlText w:val=""/>
      <w:lvlJc w:val="left"/>
      <w:pPr>
        <w:ind w:left="720" w:hanging="360"/>
      </w:pPr>
      <w:rPr>
        <w:rFonts w:ascii="Wingdings" w:eastAsia="Calibri"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67D4F6E"/>
    <w:multiLevelType w:val="hybridMultilevel"/>
    <w:tmpl w:val="5C7A0B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BD42EA9"/>
    <w:multiLevelType w:val="hybridMultilevel"/>
    <w:tmpl w:val="A9A6DD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F365F8D"/>
    <w:multiLevelType w:val="hybridMultilevel"/>
    <w:tmpl w:val="EC867F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F825AED"/>
    <w:multiLevelType w:val="hybridMultilevel"/>
    <w:tmpl w:val="C85AAEF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34527436"/>
    <w:multiLevelType w:val="hybridMultilevel"/>
    <w:tmpl w:val="195C25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E882D9C"/>
    <w:multiLevelType w:val="hybridMultilevel"/>
    <w:tmpl w:val="C85AAEF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41BA44D6"/>
    <w:multiLevelType w:val="hybridMultilevel"/>
    <w:tmpl w:val="1C146F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1DD0098"/>
    <w:multiLevelType w:val="hybridMultilevel"/>
    <w:tmpl w:val="597C669E"/>
    <w:lvl w:ilvl="0" w:tplc="61FEDE9A">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75548B5"/>
    <w:multiLevelType w:val="hybridMultilevel"/>
    <w:tmpl w:val="F68C0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D41386"/>
    <w:multiLevelType w:val="hybridMultilevel"/>
    <w:tmpl w:val="78086C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D197308"/>
    <w:multiLevelType w:val="hybridMultilevel"/>
    <w:tmpl w:val="9E8E1E14"/>
    <w:lvl w:ilvl="0" w:tplc="8A42777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EAE29D6"/>
    <w:multiLevelType w:val="hybridMultilevel"/>
    <w:tmpl w:val="9968D99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F1A5FBB"/>
    <w:multiLevelType w:val="hybridMultilevel"/>
    <w:tmpl w:val="864451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66C2D46"/>
    <w:multiLevelType w:val="hybridMultilevel"/>
    <w:tmpl w:val="329AB5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8590811"/>
    <w:multiLevelType w:val="hybridMultilevel"/>
    <w:tmpl w:val="1E5027D0"/>
    <w:lvl w:ilvl="0" w:tplc="462EE238">
      <w:start w:val="1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4C13D0"/>
    <w:multiLevelType w:val="hybridMultilevel"/>
    <w:tmpl w:val="E5B6F2F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2DF5804"/>
    <w:multiLevelType w:val="multilevel"/>
    <w:tmpl w:val="5412A638"/>
    <w:lvl w:ilvl="0">
      <w:start w:val="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4"/>
      <w:numFmt w:val="decimal"/>
      <w:lvlText w:val="%3.2"/>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9E70944"/>
    <w:multiLevelType w:val="hybridMultilevel"/>
    <w:tmpl w:val="4B48781A"/>
    <w:lvl w:ilvl="0" w:tplc="0508486C">
      <w:start w:val="1"/>
      <w:numFmt w:val="bullet"/>
      <w:lvlText w:val="•"/>
      <w:lvlJc w:val="left"/>
      <w:pPr>
        <w:tabs>
          <w:tab w:val="num" w:pos="720"/>
        </w:tabs>
        <w:ind w:left="720" w:hanging="360"/>
      </w:pPr>
      <w:rPr>
        <w:rFonts w:ascii="Arial" w:hAnsi="Arial" w:hint="default"/>
      </w:rPr>
    </w:lvl>
    <w:lvl w:ilvl="1" w:tplc="B62E7104" w:tentative="1">
      <w:start w:val="1"/>
      <w:numFmt w:val="bullet"/>
      <w:lvlText w:val="•"/>
      <w:lvlJc w:val="left"/>
      <w:pPr>
        <w:tabs>
          <w:tab w:val="num" w:pos="1440"/>
        </w:tabs>
        <w:ind w:left="1440" w:hanging="360"/>
      </w:pPr>
      <w:rPr>
        <w:rFonts w:ascii="Arial" w:hAnsi="Arial" w:hint="default"/>
      </w:rPr>
    </w:lvl>
    <w:lvl w:ilvl="2" w:tplc="2DDCC81C" w:tentative="1">
      <w:start w:val="1"/>
      <w:numFmt w:val="bullet"/>
      <w:lvlText w:val="•"/>
      <w:lvlJc w:val="left"/>
      <w:pPr>
        <w:tabs>
          <w:tab w:val="num" w:pos="2160"/>
        </w:tabs>
        <w:ind w:left="2160" w:hanging="360"/>
      </w:pPr>
      <w:rPr>
        <w:rFonts w:ascii="Arial" w:hAnsi="Arial" w:hint="default"/>
      </w:rPr>
    </w:lvl>
    <w:lvl w:ilvl="3" w:tplc="93DE2F46" w:tentative="1">
      <w:start w:val="1"/>
      <w:numFmt w:val="bullet"/>
      <w:lvlText w:val="•"/>
      <w:lvlJc w:val="left"/>
      <w:pPr>
        <w:tabs>
          <w:tab w:val="num" w:pos="2880"/>
        </w:tabs>
        <w:ind w:left="2880" w:hanging="360"/>
      </w:pPr>
      <w:rPr>
        <w:rFonts w:ascii="Arial" w:hAnsi="Arial" w:hint="default"/>
      </w:rPr>
    </w:lvl>
    <w:lvl w:ilvl="4" w:tplc="0FB4B8C2" w:tentative="1">
      <w:start w:val="1"/>
      <w:numFmt w:val="bullet"/>
      <w:lvlText w:val="•"/>
      <w:lvlJc w:val="left"/>
      <w:pPr>
        <w:tabs>
          <w:tab w:val="num" w:pos="3600"/>
        </w:tabs>
        <w:ind w:left="3600" w:hanging="360"/>
      </w:pPr>
      <w:rPr>
        <w:rFonts w:ascii="Arial" w:hAnsi="Arial" w:hint="default"/>
      </w:rPr>
    </w:lvl>
    <w:lvl w:ilvl="5" w:tplc="68AC138E" w:tentative="1">
      <w:start w:val="1"/>
      <w:numFmt w:val="bullet"/>
      <w:lvlText w:val="•"/>
      <w:lvlJc w:val="left"/>
      <w:pPr>
        <w:tabs>
          <w:tab w:val="num" w:pos="4320"/>
        </w:tabs>
        <w:ind w:left="4320" w:hanging="360"/>
      </w:pPr>
      <w:rPr>
        <w:rFonts w:ascii="Arial" w:hAnsi="Arial" w:hint="default"/>
      </w:rPr>
    </w:lvl>
    <w:lvl w:ilvl="6" w:tplc="92D6A562" w:tentative="1">
      <w:start w:val="1"/>
      <w:numFmt w:val="bullet"/>
      <w:lvlText w:val="•"/>
      <w:lvlJc w:val="left"/>
      <w:pPr>
        <w:tabs>
          <w:tab w:val="num" w:pos="5040"/>
        </w:tabs>
        <w:ind w:left="5040" w:hanging="360"/>
      </w:pPr>
      <w:rPr>
        <w:rFonts w:ascii="Arial" w:hAnsi="Arial" w:hint="default"/>
      </w:rPr>
    </w:lvl>
    <w:lvl w:ilvl="7" w:tplc="38D6E9AA" w:tentative="1">
      <w:start w:val="1"/>
      <w:numFmt w:val="bullet"/>
      <w:lvlText w:val="•"/>
      <w:lvlJc w:val="left"/>
      <w:pPr>
        <w:tabs>
          <w:tab w:val="num" w:pos="5760"/>
        </w:tabs>
        <w:ind w:left="5760" w:hanging="360"/>
      </w:pPr>
      <w:rPr>
        <w:rFonts w:ascii="Arial" w:hAnsi="Arial" w:hint="default"/>
      </w:rPr>
    </w:lvl>
    <w:lvl w:ilvl="8" w:tplc="C602E4E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C81658B"/>
    <w:multiLevelType w:val="multilevel"/>
    <w:tmpl w:val="5412A638"/>
    <w:lvl w:ilvl="0">
      <w:start w:val="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4"/>
      <w:numFmt w:val="decimal"/>
      <w:lvlText w:val="%3.2"/>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1A87803"/>
    <w:multiLevelType w:val="hybridMultilevel"/>
    <w:tmpl w:val="DA209A2C"/>
    <w:lvl w:ilvl="0" w:tplc="E84672AE">
      <w:start w:val="2"/>
      <w:numFmt w:val="bullet"/>
      <w:lvlText w:val=""/>
      <w:lvlJc w:val="left"/>
      <w:pPr>
        <w:ind w:left="720" w:hanging="360"/>
      </w:pPr>
      <w:rPr>
        <w:rFonts w:ascii="Wingdings" w:eastAsia="Calibri"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2224602"/>
    <w:multiLevelType w:val="hybridMultilevel"/>
    <w:tmpl w:val="EA0EA3AA"/>
    <w:lvl w:ilvl="0" w:tplc="B7D04776">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35732D9"/>
    <w:multiLevelType w:val="hybridMultilevel"/>
    <w:tmpl w:val="CCAC60E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2" w15:restartNumberingAfterBreak="0">
    <w:nsid w:val="77E56CE1"/>
    <w:multiLevelType w:val="hybridMultilevel"/>
    <w:tmpl w:val="C1A0CDD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E2C400E"/>
    <w:multiLevelType w:val="multilevel"/>
    <w:tmpl w:val="36C6CEE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1"/>
  </w:num>
  <w:num w:numId="3">
    <w:abstractNumId w:val="0"/>
  </w:num>
  <w:num w:numId="4">
    <w:abstractNumId w:val="23"/>
  </w:num>
  <w:num w:numId="5">
    <w:abstractNumId w:val="31"/>
  </w:num>
  <w:num w:numId="6">
    <w:abstractNumId w:val="16"/>
  </w:num>
  <w:num w:numId="7">
    <w:abstractNumId w:val="2"/>
  </w:num>
  <w:num w:numId="8">
    <w:abstractNumId w:val="10"/>
  </w:num>
  <w:num w:numId="9">
    <w:abstractNumId w:val="11"/>
  </w:num>
  <w:num w:numId="10">
    <w:abstractNumId w:val="9"/>
  </w:num>
  <w:num w:numId="11">
    <w:abstractNumId w:val="29"/>
  </w:num>
  <w:num w:numId="12">
    <w:abstractNumId w:val="6"/>
  </w:num>
  <w:num w:numId="13">
    <w:abstractNumId w:val="21"/>
  </w:num>
  <w:num w:numId="14">
    <w:abstractNumId w:val="14"/>
  </w:num>
  <w:num w:numId="15">
    <w:abstractNumId w:val="15"/>
  </w:num>
  <w:num w:numId="16">
    <w:abstractNumId w:val="13"/>
  </w:num>
  <w:num w:numId="17">
    <w:abstractNumId w:val="25"/>
  </w:num>
  <w:num w:numId="18">
    <w:abstractNumId w:val="22"/>
  </w:num>
  <w:num w:numId="19">
    <w:abstractNumId w:val="19"/>
  </w:num>
  <w:num w:numId="20">
    <w:abstractNumId w:val="12"/>
  </w:num>
  <w:num w:numId="21">
    <w:abstractNumId w:val="3"/>
  </w:num>
  <w:num w:numId="22">
    <w:abstractNumId w:val="4"/>
  </w:num>
  <w:num w:numId="23">
    <w:abstractNumId w:val="32"/>
  </w:num>
  <w:num w:numId="24">
    <w:abstractNumId w:val="30"/>
  </w:num>
  <w:num w:numId="25">
    <w:abstractNumId w:val="33"/>
  </w:num>
  <w:num w:numId="26">
    <w:abstractNumId w:val="26"/>
  </w:num>
  <w:num w:numId="27">
    <w:abstractNumId w:val="18"/>
  </w:num>
  <w:num w:numId="28">
    <w:abstractNumId w:val="28"/>
  </w:num>
  <w:num w:numId="29">
    <w:abstractNumId w:val="7"/>
  </w:num>
  <w:num w:numId="30">
    <w:abstractNumId w:val="8"/>
  </w:num>
  <w:num w:numId="31">
    <w:abstractNumId w:val="27"/>
  </w:num>
  <w:num w:numId="32">
    <w:abstractNumId w:val="20"/>
  </w:num>
  <w:num w:numId="33">
    <w:abstractNumId w:val="17"/>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it-IT" w:vendorID="64" w:dllVersion="0" w:nlCheck="1" w:checkStyle="0"/>
  <w:activeWritingStyle w:appName="MSWord" w:lang="fr-FR" w:vendorID="64" w:dllVersion="0" w:nlCheck="1" w:checkStyle="0"/>
  <w:activeWritingStyle w:appName="MSWord" w:lang="en-US" w:vendorID="64" w:dllVersion="0" w:nlCheck="1" w:checkStyle="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rcwM7CwNLc0MzEwNDVU0lEKTi0uzszPAykwNK8FAHOu5LotAAAA"/>
  </w:docVars>
  <w:rsids>
    <w:rsidRoot w:val="00647C3E"/>
    <w:rsid w:val="000003C8"/>
    <w:rsid w:val="00000BDB"/>
    <w:rsid w:val="00011195"/>
    <w:rsid w:val="00011F65"/>
    <w:rsid w:val="00012174"/>
    <w:rsid w:val="00014EF8"/>
    <w:rsid w:val="00017018"/>
    <w:rsid w:val="000170F8"/>
    <w:rsid w:val="00024EC8"/>
    <w:rsid w:val="0002618C"/>
    <w:rsid w:val="00026B2A"/>
    <w:rsid w:val="000276BB"/>
    <w:rsid w:val="00031A81"/>
    <w:rsid w:val="0003764C"/>
    <w:rsid w:val="0004055B"/>
    <w:rsid w:val="00041C5F"/>
    <w:rsid w:val="00042AFC"/>
    <w:rsid w:val="00043628"/>
    <w:rsid w:val="0004415F"/>
    <w:rsid w:val="00045B81"/>
    <w:rsid w:val="0004704A"/>
    <w:rsid w:val="000512E5"/>
    <w:rsid w:val="000542F5"/>
    <w:rsid w:val="00055454"/>
    <w:rsid w:val="00055FD4"/>
    <w:rsid w:val="000570D5"/>
    <w:rsid w:val="0006392B"/>
    <w:rsid w:val="000663D3"/>
    <w:rsid w:val="00071E95"/>
    <w:rsid w:val="0007218D"/>
    <w:rsid w:val="00072C53"/>
    <w:rsid w:val="00074C8F"/>
    <w:rsid w:val="00077312"/>
    <w:rsid w:val="00081BE5"/>
    <w:rsid w:val="0008205B"/>
    <w:rsid w:val="00083351"/>
    <w:rsid w:val="00084B2E"/>
    <w:rsid w:val="00085432"/>
    <w:rsid w:val="000857C3"/>
    <w:rsid w:val="00090C11"/>
    <w:rsid w:val="00094345"/>
    <w:rsid w:val="00094DF7"/>
    <w:rsid w:val="00095C7E"/>
    <w:rsid w:val="00097315"/>
    <w:rsid w:val="00097793"/>
    <w:rsid w:val="000A102F"/>
    <w:rsid w:val="000A480E"/>
    <w:rsid w:val="000A6EC8"/>
    <w:rsid w:val="000B4E3E"/>
    <w:rsid w:val="000C0813"/>
    <w:rsid w:val="000C2774"/>
    <w:rsid w:val="000C3EBD"/>
    <w:rsid w:val="000C6439"/>
    <w:rsid w:val="000C64C6"/>
    <w:rsid w:val="000C75E5"/>
    <w:rsid w:val="000D0BF7"/>
    <w:rsid w:val="000D4883"/>
    <w:rsid w:val="000D70E1"/>
    <w:rsid w:val="000D7412"/>
    <w:rsid w:val="000D7DC3"/>
    <w:rsid w:val="000E5A49"/>
    <w:rsid w:val="000E5CF6"/>
    <w:rsid w:val="000E7B9D"/>
    <w:rsid w:val="000F0721"/>
    <w:rsid w:val="000F3B1B"/>
    <w:rsid w:val="000F3DA8"/>
    <w:rsid w:val="000F6CDA"/>
    <w:rsid w:val="00101A04"/>
    <w:rsid w:val="00101E2D"/>
    <w:rsid w:val="0010220F"/>
    <w:rsid w:val="00102710"/>
    <w:rsid w:val="0010361A"/>
    <w:rsid w:val="001070DB"/>
    <w:rsid w:val="0011022C"/>
    <w:rsid w:val="001106B9"/>
    <w:rsid w:val="00112AFB"/>
    <w:rsid w:val="00112B66"/>
    <w:rsid w:val="001150E7"/>
    <w:rsid w:val="001157CF"/>
    <w:rsid w:val="001161D1"/>
    <w:rsid w:val="00117DC8"/>
    <w:rsid w:val="0012089E"/>
    <w:rsid w:val="00120C83"/>
    <w:rsid w:val="001307AA"/>
    <w:rsid w:val="00130B2C"/>
    <w:rsid w:val="0013321B"/>
    <w:rsid w:val="00133260"/>
    <w:rsid w:val="001340C0"/>
    <w:rsid w:val="00137154"/>
    <w:rsid w:val="0013796A"/>
    <w:rsid w:val="001410E1"/>
    <w:rsid w:val="00141ED7"/>
    <w:rsid w:val="00144819"/>
    <w:rsid w:val="00144E62"/>
    <w:rsid w:val="00154223"/>
    <w:rsid w:val="0015506B"/>
    <w:rsid w:val="00155A33"/>
    <w:rsid w:val="00156DA2"/>
    <w:rsid w:val="0016034C"/>
    <w:rsid w:val="00160882"/>
    <w:rsid w:val="001633D9"/>
    <w:rsid w:val="001644B0"/>
    <w:rsid w:val="00170BB6"/>
    <w:rsid w:val="001717C1"/>
    <w:rsid w:val="00174145"/>
    <w:rsid w:val="0017567C"/>
    <w:rsid w:val="0017600F"/>
    <w:rsid w:val="00176A47"/>
    <w:rsid w:val="0018117D"/>
    <w:rsid w:val="0018153F"/>
    <w:rsid w:val="001847FA"/>
    <w:rsid w:val="00185FBE"/>
    <w:rsid w:val="001956C5"/>
    <w:rsid w:val="001970E8"/>
    <w:rsid w:val="001B06D8"/>
    <w:rsid w:val="001B1C86"/>
    <w:rsid w:val="001B21F4"/>
    <w:rsid w:val="001B4146"/>
    <w:rsid w:val="001B4E3C"/>
    <w:rsid w:val="001B6EC0"/>
    <w:rsid w:val="001C16B1"/>
    <w:rsid w:val="001C4740"/>
    <w:rsid w:val="001C712E"/>
    <w:rsid w:val="001D0922"/>
    <w:rsid w:val="001D73B5"/>
    <w:rsid w:val="001E4AA6"/>
    <w:rsid w:val="001E6FE9"/>
    <w:rsid w:val="001F170B"/>
    <w:rsid w:val="001F493A"/>
    <w:rsid w:val="002016B0"/>
    <w:rsid w:val="00201DFF"/>
    <w:rsid w:val="00202879"/>
    <w:rsid w:val="00202FAB"/>
    <w:rsid w:val="00203777"/>
    <w:rsid w:val="00206460"/>
    <w:rsid w:val="00206814"/>
    <w:rsid w:val="00210406"/>
    <w:rsid w:val="00210871"/>
    <w:rsid w:val="00212850"/>
    <w:rsid w:val="0021675F"/>
    <w:rsid w:val="00220AE8"/>
    <w:rsid w:val="00222D0B"/>
    <w:rsid w:val="00226A01"/>
    <w:rsid w:val="00226B63"/>
    <w:rsid w:val="0023560D"/>
    <w:rsid w:val="00235FBE"/>
    <w:rsid w:val="002375A8"/>
    <w:rsid w:val="00237792"/>
    <w:rsid w:val="002423D3"/>
    <w:rsid w:val="002439C7"/>
    <w:rsid w:val="0024597D"/>
    <w:rsid w:val="002509FF"/>
    <w:rsid w:val="00250E28"/>
    <w:rsid w:val="00250E53"/>
    <w:rsid w:val="0025214F"/>
    <w:rsid w:val="00254CA3"/>
    <w:rsid w:val="00255341"/>
    <w:rsid w:val="00257E9E"/>
    <w:rsid w:val="0026000D"/>
    <w:rsid w:val="002603B3"/>
    <w:rsid w:val="00262F54"/>
    <w:rsid w:val="002658B7"/>
    <w:rsid w:val="002674C6"/>
    <w:rsid w:val="00271593"/>
    <w:rsid w:val="00271FB9"/>
    <w:rsid w:val="00274B89"/>
    <w:rsid w:val="00274F9D"/>
    <w:rsid w:val="002766E8"/>
    <w:rsid w:val="002818CA"/>
    <w:rsid w:val="00282B1A"/>
    <w:rsid w:val="0028631F"/>
    <w:rsid w:val="00286786"/>
    <w:rsid w:val="00287FE6"/>
    <w:rsid w:val="0029283D"/>
    <w:rsid w:val="00293C26"/>
    <w:rsid w:val="00293ED6"/>
    <w:rsid w:val="0029718A"/>
    <w:rsid w:val="00297911"/>
    <w:rsid w:val="00297DDE"/>
    <w:rsid w:val="002A065A"/>
    <w:rsid w:val="002A2889"/>
    <w:rsid w:val="002A4B5D"/>
    <w:rsid w:val="002A4C6F"/>
    <w:rsid w:val="002A5D02"/>
    <w:rsid w:val="002A791D"/>
    <w:rsid w:val="002B001F"/>
    <w:rsid w:val="002B3DE6"/>
    <w:rsid w:val="002B6678"/>
    <w:rsid w:val="002B7929"/>
    <w:rsid w:val="002C1222"/>
    <w:rsid w:val="002C30E2"/>
    <w:rsid w:val="002C370B"/>
    <w:rsid w:val="002C4055"/>
    <w:rsid w:val="002C5326"/>
    <w:rsid w:val="002C58F1"/>
    <w:rsid w:val="002D078D"/>
    <w:rsid w:val="002D0879"/>
    <w:rsid w:val="002D255E"/>
    <w:rsid w:val="002D43DD"/>
    <w:rsid w:val="002E3310"/>
    <w:rsid w:val="002F0295"/>
    <w:rsid w:val="002F1BB2"/>
    <w:rsid w:val="002F1EA9"/>
    <w:rsid w:val="002F1FFF"/>
    <w:rsid w:val="002F2409"/>
    <w:rsid w:val="002F6D8A"/>
    <w:rsid w:val="0030073C"/>
    <w:rsid w:val="0030636D"/>
    <w:rsid w:val="003068D1"/>
    <w:rsid w:val="003112DD"/>
    <w:rsid w:val="0031137C"/>
    <w:rsid w:val="0031163A"/>
    <w:rsid w:val="003117F1"/>
    <w:rsid w:val="003134E4"/>
    <w:rsid w:val="003135C3"/>
    <w:rsid w:val="003159CD"/>
    <w:rsid w:val="00317AEC"/>
    <w:rsid w:val="00324745"/>
    <w:rsid w:val="00324AF6"/>
    <w:rsid w:val="00324B87"/>
    <w:rsid w:val="00325391"/>
    <w:rsid w:val="00327435"/>
    <w:rsid w:val="0033075A"/>
    <w:rsid w:val="00331048"/>
    <w:rsid w:val="003325EF"/>
    <w:rsid w:val="0034215A"/>
    <w:rsid w:val="0034251B"/>
    <w:rsid w:val="003429B2"/>
    <w:rsid w:val="003432E9"/>
    <w:rsid w:val="00344D8F"/>
    <w:rsid w:val="003453B6"/>
    <w:rsid w:val="00347ABC"/>
    <w:rsid w:val="00351962"/>
    <w:rsid w:val="00352D7E"/>
    <w:rsid w:val="00355455"/>
    <w:rsid w:val="00356870"/>
    <w:rsid w:val="0035693A"/>
    <w:rsid w:val="00360DC1"/>
    <w:rsid w:val="00360E59"/>
    <w:rsid w:val="00362B6A"/>
    <w:rsid w:val="00362BE9"/>
    <w:rsid w:val="00364A24"/>
    <w:rsid w:val="00365E79"/>
    <w:rsid w:val="003666D1"/>
    <w:rsid w:val="00366CA4"/>
    <w:rsid w:val="00370415"/>
    <w:rsid w:val="00370FCB"/>
    <w:rsid w:val="003710B9"/>
    <w:rsid w:val="00373356"/>
    <w:rsid w:val="00374125"/>
    <w:rsid w:val="00377883"/>
    <w:rsid w:val="00385307"/>
    <w:rsid w:val="00386DF1"/>
    <w:rsid w:val="0038757F"/>
    <w:rsid w:val="003876F7"/>
    <w:rsid w:val="00391148"/>
    <w:rsid w:val="00393D03"/>
    <w:rsid w:val="003968D5"/>
    <w:rsid w:val="00396CD8"/>
    <w:rsid w:val="003972C7"/>
    <w:rsid w:val="003A4731"/>
    <w:rsid w:val="003A6452"/>
    <w:rsid w:val="003B2645"/>
    <w:rsid w:val="003B4777"/>
    <w:rsid w:val="003C21A1"/>
    <w:rsid w:val="003C2A81"/>
    <w:rsid w:val="003D0633"/>
    <w:rsid w:val="003D09AC"/>
    <w:rsid w:val="003D1ED6"/>
    <w:rsid w:val="003D3AE3"/>
    <w:rsid w:val="003D5948"/>
    <w:rsid w:val="003D6582"/>
    <w:rsid w:val="003E0F30"/>
    <w:rsid w:val="003E2D34"/>
    <w:rsid w:val="003E4585"/>
    <w:rsid w:val="003E5571"/>
    <w:rsid w:val="003E6965"/>
    <w:rsid w:val="003E6A30"/>
    <w:rsid w:val="003E6C6D"/>
    <w:rsid w:val="003E7033"/>
    <w:rsid w:val="003E7EA5"/>
    <w:rsid w:val="003F271E"/>
    <w:rsid w:val="003F2B33"/>
    <w:rsid w:val="003F3422"/>
    <w:rsid w:val="003F5ED0"/>
    <w:rsid w:val="004057DC"/>
    <w:rsid w:val="004065DB"/>
    <w:rsid w:val="00406600"/>
    <w:rsid w:val="0041097B"/>
    <w:rsid w:val="004112D0"/>
    <w:rsid w:val="00413649"/>
    <w:rsid w:val="00414F8A"/>
    <w:rsid w:val="00416402"/>
    <w:rsid w:val="004258D8"/>
    <w:rsid w:val="00425FD9"/>
    <w:rsid w:val="004264F9"/>
    <w:rsid w:val="004337E6"/>
    <w:rsid w:val="00435F98"/>
    <w:rsid w:val="00436E83"/>
    <w:rsid w:val="004372A6"/>
    <w:rsid w:val="0044696F"/>
    <w:rsid w:val="00447CCE"/>
    <w:rsid w:val="0045338E"/>
    <w:rsid w:val="0045698F"/>
    <w:rsid w:val="00457545"/>
    <w:rsid w:val="00457AC2"/>
    <w:rsid w:val="004622A1"/>
    <w:rsid w:val="0046462D"/>
    <w:rsid w:val="00470951"/>
    <w:rsid w:val="0047281E"/>
    <w:rsid w:val="00473B26"/>
    <w:rsid w:val="00475C0B"/>
    <w:rsid w:val="0047685C"/>
    <w:rsid w:val="00477DB0"/>
    <w:rsid w:val="00480178"/>
    <w:rsid w:val="00490A53"/>
    <w:rsid w:val="004936EF"/>
    <w:rsid w:val="00494199"/>
    <w:rsid w:val="004943BC"/>
    <w:rsid w:val="00496671"/>
    <w:rsid w:val="004968B5"/>
    <w:rsid w:val="00497186"/>
    <w:rsid w:val="00497841"/>
    <w:rsid w:val="004A16D8"/>
    <w:rsid w:val="004A1C5A"/>
    <w:rsid w:val="004A52A0"/>
    <w:rsid w:val="004A539B"/>
    <w:rsid w:val="004A7933"/>
    <w:rsid w:val="004B03F0"/>
    <w:rsid w:val="004B151F"/>
    <w:rsid w:val="004B4926"/>
    <w:rsid w:val="004B6887"/>
    <w:rsid w:val="004C420A"/>
    <w:rsid w:val="004C4A57"/>
    <w:rsid w:val="004C4F76"/>
    <w:rsid w:val="004C53D0"/>
    <w:rsid w:val="004C5EE9"/>
    <w:rsid w:val="004D198B"/>
    <w:rsid w:val="004D353D"/>
    <w:rsid w:val="004D6DE7"/>
    <w:rsid w:val="004E13E0"/>
    <w:rsid w:val="004E228C"/>
    <w:rsid w:val="004E2687"/>
    <w:rsid w:val="004E660A"/>
    <w:rsid w:val="004E6B18"/>
    <w:rsid w:val="004F180C"/>
    <w:rsid w:val="004F3800"/>
    <w:rsid w:val="004F4073"/>
    <w:rsid w:val="004F515A"/>
    <w:rsid w:val="004F5FEF"/>
    <w:rsid w:val="004F7D0A"/>
    <w:rsid w:val="00502AC7"/>
    <w:rsid w:val="005053D2"/>
    <w:rsid w:val="00507249"/>
    <w:rsid w:val="005152A0"/>
    <w:rsid w:val="00516E7A"/>
    <w:rsid w:val="00522BB9"/>
    <w:rsid w:val="005253A0"/>
    <w:rsid w:val="00525974"/>
    <w:rsid w:val="00525D0B"/>
    <w:rsid w:val="00526214"/>
    <w:rsid w:val="005314C3"/>
    <w:rsid w:val="0053246D"/>
    <w:rsid w:val="00534FD4"/>
    <w:rsid w:val="005351E5"/>
    <w:rsid w:val="00536804"/>
    <w:rsid w:val="00544318"/>
    <w:rsid w:val="0055076C"/>
    <w:rsid w:val="00551D88"/>
    <w:rsid w:val="005529C9"/>
    <w:rsid w:val="00552B54"/>
    <w:rsid w:val="00552D95"/>
    <w:rsid w:val="00552ED1"/>
    <w:rsid w:val="005560B7"/>
    <w:rsid w:val="00557F35"/>
    <w:rsid w:val="00560219"/>
    <w:rsid w:val="00560ED6"/>
    <w:rsid w:val="005622E3"/>
    <w:rsid w:val="00562AE2"/>
    <w:rsid w:val="0056303B"/>
    <w:rsid w:val="00570EBB"/>
    <w:rsid w:val="00573576"/>
    <w:rsid w:val="005739E0"/>
    <w:rsid w:val="005743DE"/>
    <w:rsid w:val="00574B86"/>
    <w:rsid w:val="0057516A"/>
    <w:rsid w:val="005761E7"/>
    <w:rsid w:val="00577213"/>
    <w:rsid w:val="005831F4"/>
    <w:rsid w:val="0059087E"/>
    <w:rsid w:val="00591ECA"/>
    <w:rsid w:val="005953A0"/>
    <w:rsid w:val="0059550A"/>
    <w:rsid w:val="00596CCF"/>
    <w:rsid w:val="005B0C51"/>
    <w:rsid w:val="005B24E9"/>
    <w:rsid w:val="005B4B7A"/>
    <w:rsid w:val="005B581E"/>
    <w:rsid w:val="005B6B07"/>
    <w:rsid w:val="005C039C"/>
    <w:rsid w:val="005C3E54"/>
    <w:rsid w:val="005C41F2"/>
    <w:rsid w:val="005C5693"/>
    <w:rsid w:val="005C5A4F"/>
    <w:rsid w:val="005C6C3D"/>
    <w:rsid w:val="005D0A58"/>
    <w:rsid w:val="005D0CDF"/>
    <w:rsid w:val="005D3A9C"/>
    <w:rsid w:val="005D3ED3"/>
    <w:rsid w:val="005D63B4"/>
    <w:rsid w:val="005E5090"/>
    <w:rsid w:val="005E50CF"/>
    <w:rsid w:val="005F3705"/>
    <w:rsid w:val="005F72A9"/>
    <w:rsid w:val="00600E4F"/>
    <w:rsid w:val="006030F5"/>
    <w:rsid w:val="00606B17"/>
    <w:rsid w:val="00606EF6"/>
    <w:rsid w:val="006122D3"/>
    <w:rsid w:val="00613935"/>
    <w:rsid w:val="00614A5C"/>
    <w:rsid w:val="006205A6"/>
    <w:rsid w:val="00621CB2"/>
    <w:rsid w:val="00623E08"/>
    <w:rsid w:val="00624C8E"/>
    <w:rsid w:val="00625005"/>
    <w:rsid w:val="00625AC2"/>
    <w:rsid w:val="00627BC9"/>
    <w:rsid w:val="00633B24"/>
    <w:rsid w:val="006355ED"/>
    <w:rsid w:val="006374CB"/>
    <w:rsid w:val="00641BF9"/>
    <w:rsid w:val="006426C1"/>
    <w:rsid w:val="00643007"/>
    <w:rsid w:val="0064466F"/>
    <w:rsid w:val="0064660B"/>
    <w:rsid w:val="00647C3E"/>
    <w:rsid w:val="00652678"/>
    <w:rsid w:val="00652F74"/>
    <w:rsid w:val="00653B6C"/>
    <w:rsid w:val="006549AB"/>
    <w:rsid w:val="00655E7B"/>
    <w:rsid w:val="006570D4"/>
    <w:rsid w:val="006664E1"/>
    <w:rsid w:val="00675890"/>
    <w:rsid w:val="0067610D"/>
    <w:rsid w:val="00680007"/>
    <w:rsid w:val="006807D0"/>
    <w:rsid w:val="00682897"/>
    <w:rsid w:val="00690601"/>
    <w:rsid w:val="00692996"/>
    <w:rsid w:val="00693C5D"/>
    <w:rsid w:val="00696CC7"/>
    <w:rsid w:val="006A0F13"/>
    <w:rsid w:val="006A3B6C"/>
    <w:rsid w:val="006A41F4"/>
    <w:rsid w:val="006A5556"/>
    <w:rsid w:val="006A607E"/>
    <w:rsid w:val="006A6578"/>
    <w:rsid w:val="006A6A27"/>
    <w:rsid w:val="006B18DC"/>
    <w:rsid w:val="006B49A5"/>
    <w:rsid w:val="006B5DCE"/>
    <w:rsid w:val="006B6E95"/>
    <w:rsid w:val="006C21D2"/>
    <w:rsid w:val="006C36F9"/>
    <w:rsid w:val="006C3A07"/>
    <w:rsid w:val="006C3F6D"/>
    <w:rsid w:val="006C4061"/>
    <w:rsid w:val="006C4292"/>
    <w:rsid w:val="006C574C"/>
    <w:rsid w:val="006D04FF"/>
    <w:rsid w:val="006D2772"/>
    <w:rsid w:val="006D2BD6"/>
    <w:rsid w:val="006D69E3"/>
    <w:rsid w:val="006E2CEC"/>
    <w:rsid w:val="006E2D65"/>
    <w:rsid w:val="006E3C23"/>
    <w:rsid w:val="006E79C5"/>
    <w:rsid w:val="006F0FEB"/>
    <w:rsid w:val="006F195C"/>
    <w:rsid w:val="006F2EFD"/>
    <w:rsid w:val="006F6F49"/>
    <w:rsid w:val="00701571"/>
    <w:rsid w:val="007035CA"/>
    <w:rsid w:val="00714D3F"/>
    <w:rsid w:val="007173E7"/>
    <w:rsid w:val="00723A1D"/>
    <w:rsid w:val="00723A2E"/>
    <w:rsid w:val="00740E73"/>
    <w:rsid w:val="007445F1"/>
    <w:rsid w:val="00752068"/>
    <w:rsid w:val="0075223C"/>
    <w:rsid w:val="0075339C"/>
    <w:rsid w:val="007537DB"/>
    <w:rsid w:val="00755296"/>
    <w:rsid w:val="0075586E"/>
    <w:rsid w:val="00755FE9"/>
    <w:rsid w:val="00757494"/>
    <w:rsid w:val="0076662B"/>
    <w:rsid w:val="00766E60"/>
    <w:rsid w:val="007677F8"/>
    <w:rsid w:val="00772655"/>
    <w:rsid w:val="007757B4"/>
    <w:rsid w:val="007773FD"/>
    <w:rsid w:val="007779B6"/>
    <w:rsid w:val="00780906"/>
    <w:rsid w:val="00783D32"/>
    <w:rsid w:val="007863B9"/>
    <w:rsid w:val="007872D5"/>
    <w:rsid w:val="00790113"/>
    <w:rsid w:val="0079120A"/>
    <w:rsid w:val="00791C6B"/>
    <w:rsid w:val="00794990"/>
    <w:rsid w:val="007A372F"/>
    <w:rsid w:val="007A6E11"/>
    <w:rsid w:val="007A7C4F"/>
    <w:rsid w:val="007B06A8"/>
    <w:rsid w:val="007B3163"/>
    <w:rsid w:val="007B5DA8"/>
    <w:rsid w:val="007B5FA7"/>
    <w:rsid w:val="007C42FF"/>
    <w:rsid w:val="007C5363"/>
    <w:rsid w:val="007C6168"/>
    <w:rsid w:val="007D1BF9"/>
    <w:rsid w:val="007D4197"/>
    <w:rsid w:val="007D46B6"/>
    <w:rsid w:val="007D62A2"/>
    <w:rsid w:val="007E0C95"/>
    <w:rsid w:val="007E0F1C"/>
    <w:rsid w:val="007E5FD7"/>
    <w:rsid w:val="007E62D9"/>
    <w:rsid w:val="007E764E"/>
    <w:rsid w:val="007E7812"/>
    <w:rsid w:val="007F3009"/>
    <w:rsid w:val="007F350F"/>
    <w:rsid w:val="007F63A1"/>
    <w:rsid w:val="007F6AA3"/>
    <w:rsid w:val="007F7B07"/>
    <w:rsid w:val="00800DD6"/>
    <w:rsid w:val="00804E27"/>
    <w:rsid w:val="00805950"/>
    <w:rsid w:val="00806040"/>
    <w:rsid w:val="00806B62"/>
    <w:rsid w:val="00807EDF"/>
    <w:rsid w:val="00810D43"/>
    <w:rsid w:val="00810E09"/>
    <w:rsid w:val="00811041"/>
    <w:rsid w:val="0081518A"/>
    <w:rsid w:val="00825DA0"/>
    <w:rsid w:val="00827C15"/>
    <w:rsid w:val="00832D86"/>
    <w:rsid w:val="00833B4C"/>
    <w:rsid w:val="00835794"/>
    <w:rsid w:val="00836DCA"/>
    <w:rsid w:val="0084291E"/>
    <w:rsid w:val="00843F53"/>
    <w:rsid w:val="00844BDB"/>
    <w:rsid w:val="00845085"/>
    <w:rsid w:val="0084632A"/>
    <w:rsid w:val="00850795"/>
    <w:rsid w:val="00850D13"/>
    <w:rsid w:val="008567A3"/>
    <w:rsid w:val="00856A1E"/>
    <w:rsid w:val="00860CD7"/>
    <w:rsid w:val="00861DDD"/>
    <w:rsid w:val="00862064"/>
    <w:rsid w:val="0086329D"/>
    <w:rsid w:val="008657A0"/>
    <w:rsid w:val="008663EC"/>
    <w:rsid w:val="00870884"/>
    <w:rsid w:val="008719EE"/>
    <w:rsid w:val="0087277D"/>
    <w:rsid w:val="008759EC"/>
    <w:rsid w:val="00876459"/>
    <w:rsid w:val="00880254"/>
    <w:rsid w:val="008823A5"/>
    <w:rsid w:val="00883710"/>
    <w:rsid w:val="0088430A"/>
    <w:rsid w:val="00890FBB"/>
    <w:rsid w:val="008931D2"/>
    <w:rsid w:val="008975E4"/>
    <w:rsid w:val="008A022D"/>
    <w:rsid w:val="008A03A9"/>
    <w:rsid w:val="008A29EA"/>
    <w:rsid w:val="008A427E"/>
    <w:rsid w:val="008A53D2"/>
    <w:rsid w:val="008A5BCE"/>
    <w:rsid w:val="008A62DC"/>
    <w:rsid w:val="008A6B3F"/>
    <w:rsid w:val="008A784B"/>
    <w:rsid w:val="008B49B9"/>
    <w:rsid w:val="008B49F7"/>
    <w:rsid w:val="008B57AD"/>
    <w:rsid w:val="008B5A0C"/>
    <w:rsid w:val="008B5A4C"/>
    <w:rsid w:val="008B6958"/>
    <w:rsid w:val="008C0EDB"/>
    <w:rsid w:val="008C1DDC"/>
    <w:rsid w:val="008C3AD0"/>
    <w:rsid w:val="008C480F"/>
    <w:rsid w:val="008D41A1"/>
    <w:rsid w:val="008D493C"/>
    <w:rsid w:val="008E1CEF"/>
    <w:rsid w:val="008E325E"/>
    <w:rsid w:val="008E6AE2"/>
    <w:rsid w:val="008E74D1"/>
    <w:rsid w:val="008F001E"/>
    <w:rsid w:val="008F2412"/>
    <w:rsid w:val="008F3F54"/>
    <w:rsid w:val="008F4D1A"/>
    <w:rsid w:val="008F5933"/>
    <w:rsid w:val="0090097F"/>
    <w:rsid w:val="009012A3"/>
    <w:rsid w:val="0090220D"/>
    <w:rsid w:val="00902746"/>
    <w:rsid w:val="009157D3"/>
    <w:rsid w:val="009160FA"/>
    <w:rsid w:val="009171F5"/>
    <w:rsid w:val="009244A2"/>
    <w:rsid w:val="009278D0"/>
    <w:rsid w:val="00927EA1"/>
    <w:rsid w:val="009325A2"/>
    <w:rsid w:val="0093549C"/>
    <w:rsid w:val="009367EE"/>
    <w:rsid w:val="00941A80"/>
    <w:rsid w:val="00944145"/>
    <w:rsid w:val="00947516"/>
    <w:rsid w:val="00957E35"/>
    <w:rsid w:val="009625B2"/>
    <w:rsid w:val="009674CF"/>
    <w:rsid w:val="009679CE"/>
    <w:rsid w:val="00967F60"/>
    <w:rsid w:val="00970CC1"/>
    <w:rsid w:val="009734C2"/>
    <w:rsid w:val="009773E9"/>
    <w:rsid w:val="00977439"/>
    <w:rsid w:val="00981CF5"/>
    <w:rsid w:val="00981D5E"/>
    <w:rsid w:val="00981DA1"/>
    <w:rsid w:val="009837A7"/>
    <w:rsid w:val="00983F2E"/>
    <w:rsid w:val="0098426B"/>
    <w:rsid w:val="0098565E"/>
    <w:rsid w:val="00990E57"/>
    <w:rsid w:val="009917E6"/>
    <w:rsid w:val="00991836"/>
    <w:rsid w:val="00991DC5"/>
    <w:rsid w:val="00992BA1"/>
    <w:rsid w:val="009970CB"/>
    <w:rsid w:val="00997321"/>
    <w:rsid w:val="009A091E"/>
    <w:rsid w:val="009A515B"/>
    <w:rsid w:val="009A5C69"/>
    <w:rsid w:val="009B0071"/>
    <w:rsid w:val="009B651C"/>
    <w:rsid w:val="009B74B0"/>
    <w:rsid w:val="009B78DB"/>
    <w:rsid w:val="009C25F8"/>
    <w:rsid w:val="009C3F58"/>
    <w:rsid w:val="009C7664"/>
    <w:rsid w:val="009D19C9"/>
    <w:rsid w:val="009D65D1"/>
    <w:rsid w:val="009E6BC0"/>
    <w:rsid w:val="009F0169"/>
    <w:rsid w:val="009F3EC4"/>
    <w:rsid w:val="00A00E72"/>
    <w:rsid w:val="00A01A13"/>
    <w:rsid w:val="00A077AE"/>
    <w:rsid w:val="00A10816"/>
    <w:rsid w:val="00A1093B"/>
    <w:rsid w:val="00A16657"/>
    <w:rsid w:val="00A21CAA"/>
    <w:rsid w:val="00A354B1"/>
    <w:rsid w:val="00A37052"/>
    <w:rsid w:val="00A376B6"/>
    <w:rsid w:val="00A3785B"/>
    <w:rsid w:val="00A44EEA"/>
    <w:rsid w:val="00A460E0"/>
    <w:rsid w:val="00A46988"/>
    <w:rsid w:val="00A47914"/>
    <w:rsid w:val="00A52915"/>
    <w:rsid w:val="00A53D51"/>
    <w:rsid w:val="00A55AD7"/>
    <w:rsid w:val="00A56D47"/>
    <w:rsid w:val="00A5705D"/>
    <w:rsid w:val="00A5730B"/>
    <w:rsid w:val="00A60B40"/>
    <w:rsid w:val="00A60C12"/>
    <w:rsid w:val="00A70A28"/>
    <w:rsid w:val="00A711D7"/>
    <w:rsid w:val="00A7540C"/>
    <w:rsid w:val="00A830F4"/>
    <w:rsid w:val="00A8511D"/>
    <w:rsid w:val="00A856B2"/>
    <w:rsid w:val="00A85C61"/>
    <w:rsid w:val="00A87236"/>
    <w:rsid w:val="00A91797"/>
    <w:rsid w:val="00A93ED0"/>
    <w:rsid w:val="00A94AAA"/>
    <w:rsid w:val="00A956BA"/>
    <w:rsid w:val="00AA219A"/>
    <w:rsid w:val="00AA5423"/>
    <w:rsid w:val="00AA7828"/>
    <w:rsid w:val="00AB0484"/>
    <w:rsid w:val="00AB04E7"/>
    <w:rsid w:val="00AB7348"/>
    <w:rsid w:val="00AC01A2"/>
    <w:rsid w:val="00AC1905"/>
    <w:rsid w:val="00AC191F"/>
    <w:rsid w:val="00AC3CD0"/>
    <w:rsid w:val="00AC41F2"/>
    <w:rsid w:val="00AC7B7E"/>
    <w:rsid w:val="00AD1B54"/>
    <w:rsid w:val="00AD366A"/>
    <w:rsid w:val="00AD3D7B"/>
    <w:rsid w:val="00AE04E3"/>
    <w:rsid w:val="00AE3948"/>
    <w:rsid w:val="00AE46EF"/>
    <w:rsid w:val="00AE7BFA"/>
    <w:rsid w:val="00AF398A"/>
    <w:rsid w:val="00AF42FE"/>
    <w:rsid w:val="00AF732B"/>
    <w:rsid w:val="00B04221"/>
    <w:rsid w:val="00B06E49"/>
    <w:rsid w:val="00B07F49"/>
    <w:rsid w:val="00B11AE2"/>
    <w:rsid w:val="00B11FD8"/>
    <w:rsid w:val="00B177B6"/>
    <w:rsid w:val="00B21AEA"/>
    <w:rsid w:val="00B222A9"/>
    <w:rsid w:val="00B27928"/>
    <w:rsid w:val="00B3166A"/>
    <w:rsid w:val="00B351B0"/>
    <w:rsid w:val="00B3623A"/>
    <w:rsid w:val="00B37512"/>
    <w:rsid w:val="00B37B63"/>
    <w:rsid w:val="00B37B86"/>
    <w:rsid w:val="00B419AF"/>
    <w:rsid w:val="00B44C25"/>
    <w:rsid w:val="00B45028"/>
    <w:rsid w:val="00B46EE3"/>
    <w:rsid w:val="00B47C46"/>
    <w:rsid w:val="00B534EB"/>
    <w:rsid w:val="00B53718"/>
    <w:rsid w:val="00B53B20"/>
    <w:rsid w:val="00B54018"/>
    <w:rsid w:val="00B555A9"/>
    <w:rsid w:val="00B55A4C"/>
    <w:rsid w:val="00B572BD"/>
    <w:rsid w:val="00B62CDF"/>
    <w:rsid w:val="00B65568"/>
    <w:rsid w:val="00B6562F"/>
    <w:rsid w:val="00B65DF1"/>
    <w:rsid w:val="00B66B93"/>
    <w:rsid w:val="00B67B02"/>
    <w:rsid w:val="00B779C7"/>
    <w:rsid w:val="00B8468A"/>
    <w:rsid w:val="00B8577A"/>
    <w:rsid w:val="00B86569"/>
    <w:rsid w:val="00B878FC"/>
    <w:rsid w:val="00B93F74"/>
    <w:rsid w:val="00BA0D37"/>
    <w:rsid w:val="00BA26C6"/>
    <w:rsid w:val="00BA27FD"/>
    <w:rsid w:val="00BA4CC8"/>
    <w:rsid w:val="00BA76EE"/>
    <w:rsid w:val="00BB1DAF"/>
    <w:rsid w:val="00BB28A3"/>
    <w:rsid w:val="00BB3BC6"/>
    <w:rsid w:val="00BB5715"/>
    <w:rsid w:val="00BB7C9B"/>
    <w:rsid w:val="00BC1148"/>
    <w:rsid w:val="00BD059A"/>
    <w:rsid w:val="00BD0930"/>
    <w:rsid w:val="00BD20CA"/>
    <w:rsid w:val="00BD401E"/>
    <w:rsid w:val="00BD7B4F"/>
    <w:rsid w:val="00BE06F0"/>
    <w:rsid w:val="00BE4178"/>
    <w:rsid w:val="00BF3134"/>
    <w:rsid w:val="00BF45D5"/>
    <w:rsid w:val="00BF7071"/>
    <w:rsid w:val="00BF75B7"/>
    <w:rsid w:val="00BF7DEA"/>
    <w:rsid w:val="00C01DEB"/>
    <w:rsid w:val="00C0376A"/>
    <w:rsid w:val="00C04CE3"/>
    <w:rsid w:val="00C05EE7"/>
    <w:rsid w:val="00C1141C"/>
    <w:rsid w:val="00C12196"/>
    <w:rsid w:val="00C12BEC"/>
    <w:rsid w:val="00C1505F"/>
    <w:rsid w:val="00C15ACA"/>
    <w:rsid w:val="00C16F19"/>
    <w:rsid w:val="00C17D34"/>
    <w:rsid w:val="00C22AAA"/>
    <w:rsid w:val="00C22DBD"/>
    <w:rsid w:val="00C22EA3"/>
    <w:rsid w:val="00C22FCD"/>
    <w:rsid w:val="00C23435"/>
    <w:rsid w:val="00C2412A"/>
    <w:rsid w:val="00C25F47"/>
    <w:rsid w:val="00C26AD9"/>
    <w:rsid w:val="00C27D67"/>
    <w:rsid w:val="00C303A3"/>
    <w:rsid w:val="00C30991"/>
    <w:rsid w:val="00C31834"/>
    <w:rsid w:val="00C31C7B"/>
    <w:rsid w:val="00C32680"/>
    <w:rsid w:val="00C33394"/>
    <w:rsid w:val="00C33AF2"/>
    <w:rsid w:val="00C3D057"/>
    <w:rsid w:val="00C40B01"/>
    <w:rsid w:val="00C4279F"/>
    <w:rsid w:val="00C43B03"/>
    <w:rsid w:val="00C453FF"/>
    <w:rsid w:val="00C46E5E"/>
    <w:rsid w:val="00C51745"/>
    <w:rsid w:val="00C550A5"/>
    <w:rsid w:val="00C61A70"/>
    <w:rsid w:val="00C65442"/>
    <w:rsid w:val="00C658AE"/>
    <w:rsid w:val="00C708F1"/>
    <w:rsid w:val="00C718D0"/>
    <w:rsid w:val="00C74A26"/>
    <w:rsid w:val="00C74C7D"/>
    <w:rsid w:val="00C76EA6"/>
    <w:rsid w:val="00C7737C"/>
    <w:rsid w:val="00C77B26"/>
    <w:rsid w:val="00C82C6F"/>
    <w:rsid w:val="00C86E9D"/>
    <w:rsid w:val="00C94E5F"/>
    <w:rsid w:val="00C966FB"/>
    <w:rsid w:val="00CA3947"/>
    <w:rsid w:val="00CA3C54"/>
    <w:rsid w:val="00CA74A8"/>
    <w:rsid w:val="00CB1F3E"/>
    <w:rsid w:val="00CB431A"/>
    <w:rsid w:val="00CB539E"/>
    <w:rsid w:val="00CB677F"/>
    <w:rsid w:val="00CC268D"/>
    <w:rsid w:val="00CC2C81"/>
    <w:rsid w:val="00CC38CD"/>
    <w:rsid w:val="00CD17B5"/>
    <w:rsid w:val="00CD3C72"/>
    <w:rsid w:val="00CD740F"/>
    <w:rsid w:val="00CD7CDB"/>
    <w:rsid w:val="00CE10CF"/>
    <w:rsid w:val="00CE73C9"/>
    <w:rsid w:val="00CF052E"/>
    <w:rsid w:val="00CF1943"/>
    <w:rsid w:val="00CF468B"/>
    <w:rsid w:val="00CF58B9"/>
    <w:rsid w:val="00D012CE"/>
    <w:rsid w:val="00D023CF"/>
    <w:rsid w:val="00D024CE"/>
    <w:rsid w:val="00D02D6F"/>
    <w:rsid w:val="00D03FFA"/>
    <w:rsid w:val="00D05520"/>
    <w:rsid w:val="00D11E6E"/>
    <w:rsid w:val="00D15EC7"/>
    <w:rsid w:val="00D16948"/>
    <w:rsid w:val="00D25557"/>
    <w:rsid w:val="00D257BA"/>
    <w:rsid w:val="00D25F2C"/>
    <w:rsid w:val="00D3177C"/>
    <w:rsid w:val="00D31B8F"/>
    <w:rsid w:val="00D32BB0"/>
    <w:rsid w:val="00D4564D"/>
    <w:rsid w:val="00D5289C"/>
    <w:rsid w:val="00D5425C"/>
    <w:rsid w:val="00D554A6"/>
    <w:rsid w:val="00D56A79"/>
    <w:rsid w:val="00D63C97"/>
    <w:rsid w:val="00D63F74"/>
    <w:rsid w:val="00D6636D"/>
    <w:rsid w:val="00D70F7B"/>
    <w:rsid w:val="00D71601"/>
    <w:rsid w:val="00D7267A"/>
    <w:rsid w:val="00D74FA7"/>
    <w:rsid w:val="00D76DB2"/>
    <w:rsid w:val="00D773AA"/>
    <w:rsid w:val="00D80F9C"/>
    <w:rsid w:val="00D81803"/>
    <w:rsid w:val="00D81D19"/>
    <w:rsid w:val="00D83414"/>
    <w:rsid w:val="00D85277"/>
    <w:rsid w:val="00D91600"/>
    <w:rsid w:val="00D93D46"/>
    <w:rsid w:val="00D96140"/>
    <w:rsid w:val="00D9639D"/>
    <w:rsid w:val="00D96AD7"/>
    <w:rsid w:val="00D96D39"/>
    <w:rsid w:val="00D97381"/>
    <w:rsid w:val="00D97854"/>
    <w:rsid w:val="00DA0AFC"/>
    <w:rsid w:val="00DA14E5"/>
    <w:rsid w:val="00DA23E7"/>
    <w:rsid w:val="00DA4121"/>
    <w:rsid w:val="00DA431A"/>
    <w:rsid w:val="00DA57CA"/>
    <w:rsid w:val="00DB01E3"/>
    <w:rsid w:val="00DB2009"/>
    <w:rsid w:val="00DB3128"/>
    <w:rsid w:val="00DB6C31"/>
    <w:rsid w:val="00DC1922"/>
    <w:rsid w:val="00DC39D8"/>
    <w:rsid w:val="00DC74C4"/>
    <w:rsid w:val="00DD295D"/>
    <w:rsid w:val="00DD3503"/>
    <w:rsid w:val="00DD4664"/>
    <w:rsid w:val="00DD4FCE"/>
    <w:rsid w:val="00DD55BC"/>
    <w:rsid w:val="00DD6C9C"/>
    <w:rsid w:val="00DD7D13"/>
    <w:rsid w:val="00DE056B"/>
    <w:rsid w:val="00DE289D"/>
    <w:rsid w:val="00DE2ABD"/>
    <w:rsid w:val="00DE341E"/>
    <w:rsid w:val="00DE5AB4"/>
    <w:rsid w:val="00DE77D4"/>
    <w:rsid w:val="00DF2B86"/>
    <w:rsid w:val="00DF2DE9"/>
    <w:rsid w:val="00DF3648"/>
    <w:rsid w:val="00DF4BC1"/>
    <w:rsid w:val="00DF7A8E"/>
    <w:rsid w:val="00E000CB"/>
    <w:rsid w:val="00E049FF"/>
    <w:rsid w:val="00E12010"/>
    <w:rsid w:val="00E12072"/>
    <w:rsid w:val="00E15631"/>
    <w:rsid w:val="00E22663"/>
    <w:rsid w:val="00E22E39"/>
    <w:rsid w:val="00E273CB"/>
    <w:rsid w:val="00E30693"/>
    <w:rsid w:val="00E31FD7"/>
    <w:rsid w:val="00E324D4"/>
    <w:rsid w:val="00E32736"/>
    <w:rsid w:val="00E32879"/>
    <w:rsid w:val="00E32AD5"/>
    <w:rsid w:val="00E33B35"/>
    <w:rsid w:val="00E35C19"/>
    <w:rsid w:val="00E37D44"/>
    <w:rsid w:val="00E41269"/>
    <w:rsid w:val="00E43F95"/>
    <w:rsid w:val="00E44C48"/>
    <w:rsid w:val="00E459F4"/>
    <w:rsid w:val="00E512E2"/>
    <w:rsid w:val="00E530C1"/>
    <w:rsid w:val="00E53614"/>
    <w:rsid w:val="00E548CF"/>
    <w:rsid w:val="00E55277"/>
    <w:rsid w:val="00E5788D"/>
    <w:rsid w:val="00E61479"/>
    <w:rsid w:val="00E61E84"/>
    <w:rsid w:val="00E6289C"/>
    <w:rsid w:val="00E676A7"/>
    <w:rsid w:val="00E703F0"/>
    <w:rsid w:val="00E714A6"/>
    <w:rsid w:val="00E71A10"/>
    <w:rsid w:val="00E71E57"/>
    <w:rsid w:val="00E737D8"/>
    <w:rsid w:val="00E73A4C"/>
    <w:rsid w:val="00E7488E"/>
    <w:rsid w:val="00E803E3"/>
    <w:rsid w:val="00E80ECE"/>
    <w:rsid w:val="00E81ED4"/>
    <w:rsid w:val="00E83FAC"/>
    <w:rsid w:val="00E8694C"/>
    <w:rsid w:val="00E86E0E"/>
    <w:rsid w:val="00E9079E"/>
    <w:rsid w:val="00E91006"/>
    <w:rsid w:val="00E912ED"/>
    <w:rsid w:val="00E93736"/>
    <w:rsid w:val="00EA050A"/>
    <w:rsid w:val="00EA1123"/>
    <w:rsid w:val="00EA507C"/>
    <w:rsid w:val="00EA5C7B"/>
    <w:rsid w:val="00EA6C03"/>
    <w:rsid w:val="00EB0D74"/>
    <w:rsid w:val="00EB1ECB"/>
    <w:rsid w:val="00EB21B0"/>
    <w:rsid w:val="00EB22D6"/>
    <w:rsid w:val="00EB40E8"/>
    <w:rsid w:val="00EB74E8"/>
    <w:rsid w:val="00EB7F90"/>
    <w:rsid w:val="00EC1789"/>
    <w:rsid w:val="00ED2276"/>
    <w:rsid w:val="00ED4820"/>
    <w:rsid w:val="00ED7EAF"/>
    <w:rsid w:val="00EE10AA"/>
    <w:rsid w:val="00EE1445"/>
    <w:rsid w:val="00EE1A6A"/>
    <w:rsid w:val="00EE2229"/>
    <w:rsid w:val="00EE4C28"/>
    <w:rsid w:val="00EE4D04"/>
    <w:rsid w:val="00EE533D"/>
    <w:rsid w:val="00EE67AF"/>
    <w:rsid w:val="00EE75D3"/>
    <w:rsid w:val="00EF1231"/>
    <w:rsid w:val="00EF162D"/>
    <w:rsid w:val="00EF1649"/>
    <w:rsid w:val="00EF212F"/>
    <w:rsid w:val="00EF407F"/>
    <w:rsid w:val="00EF4D3D"/>
    <w:rsid w:val="00EF50C9"/>
    <w:rsid w:val="00EF5F99"/>
    <w:rsid w:val="00EF7D7D"/>
    <w:rsid w:val="00F01AB2"/>
    <w:rsid w:val="00F02179"/>
    <w:rsid w:val="00F02FF9"/>
    <w:rsid w:val="00F05BA9"/>
    <w:rsid w:val="00F144E9"/>
    <w:rsid w:val="00F14CFC"/>
    <w:rsid w:val="00F164E1"/>
    <w:rsid w:val="00F17490"/>
    <w:rsid w:val="00F17F0E"/>
    <w:rsid w:val="00F20961"/>
    <w:rsid w:val="00F2135E"/>
    <w:rsid w:val="00F21BA0"/>
    <w:rsid w:val="00F23438"/>
    <w:rsid w:val="00F23EF1"/>
    <w:rsid w:val="00F257BD"/>
    <w:rsid w:val="00F25946"/>
    <w:rsid w:val="00F262D4"/>
    <w:rsid w:val="00F314F5"/>
    <w:rsid w:val="00F333AE"/>
    <w:rsid w:val="00F341CB"/>
    <w:rsid w:val="00F34EB7"/>
    <w:rsid w:val="00F42A97"/>
    <w:rsid w:val="00F43ECB"/>
    <w:rsid w:val="00F44734"/>
    <w:rsid w:val="00F476CD"/>
    <w:rsid w:val="00F5082D"/>
    <w:rsid w:val="00F50ACC"/>
    <w:rsid w:val="00F53EC0"/>
    <w:rsid w:val="00F56D95"/>
    <w:rsid w:val="00F60F8D"/>
    <w:rsid w:val="00F621E0"/>
    <w:rsid w:val="00F64653"/>
    <w:rsid w:val="00F65127"/>
    <w:rsid w:val="00F7533F"/>
    <w:rsid w:val="00F769BE"/>
    <w:rsid w:val="00F76B9C"/>
    <w:rsid w:val="00F81F90"/>
    <w:rsid w:val="00F8327D"/>
    <w:rsid w:val="00F8336B"/>
    <w:rsid w:val="00F83C0E"/>
    <w:rsid w:val="00F85192"/>
    <w:rsid w:val="00F85598"/>
    <w:rsid w:val="00F8613C"/>
    <w:rsid w:val="00F86C27"/>
    <w:rsid w:val="00F87CDD"/>
    <w:rsid w:val="00F87D80"/>
    <w:rsid w:val="00F87DCB"/>
    <w:rsid w:val="00F900F3"/>
    <w:rsid w:val="00F91390"/>
    <w:rsid w:val="00F916E6"/>
    <w:rsid w:val="00F91DF2"/>
    <w:rsid w:val="00F94B09"/>
    <w:rsid w:val="00F94B81"/>
    <w:rsid w:val="00F95C60"/>
    <w:rsid w:val="00F96488"/>
    <w:rsid w:val="00FA54F6"/>
    <w:rsid w:val="00FA664C"/>
    <w:rsid w:val="00FA694D"/>
    <w:rsid w:val="00FA6B20"/>
    <w:rsid w:val="00FA6BE3"/>
    <w:rsid w:val="00FA719B"/>
    <w:rsid w:val="00FA7D0F"/>
    <w:rsid w:val="00FC5ACA"/>
    <w:rsid w:val="00FD1CAE"/>
    <w:rsid w:val="00FD431F"/>
    <w:rsid w:val="00FD4616"/>
    <w:rsid w:val="00FD5377"/>
    <w:rsid w:val="00FD6FEF"/>
    <w:rsid w:val="00FE3CD4"/>
    <w:rsid w:val="00FE48DC"/>
    <w:rsid w:val="00FE63B8"/>
    <w:rsid w:val="00FF061A"/>
    <w:rsid w:val="00FF085E"/>
    <w:rsid w:val="00FF1BFB"/>
    <w:rsid w:val="00FF2CBD"/>
    <w:rsid w:val="00FF2D12"/>
    <w:rsid w:val="00FF36DD"/>
    <w:rsid w:val="00FF4A77"/>
    <w:rsid w:val="00FF6C49"/>
    <w:rsid w:val="00FF7686"/>
    <w:rsid w:val="0663DE3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B1198"/>
  <w15:docId w15:val="{E1D5D3D5-0C0F-4B80-8C31-2C648A451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47C3E"/>
    <w:pPr>
      <w:jc w:val="center"/>
    </w:pPr>
    <w:rPr>
      <w:sz w:val="22"/>
      <w:szCs w:val="22"/>
      <w:lang w:val="en-GB"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00BDB"/>
    <w:pPr>
      <w:ind w:left="720"/>
      <w:contextualSpacing/>
    </w:pPr>
  </w:style>
  <w:style w:type="character" w:styleId="Rimandocommento">
    <w:name w:val="annotation reference"/>
    <w:uiPriority w:val="99"/>
    <w:rsid w:val="007537DB"/>
    <w:rPr>
      <w:rFonts w:cs="Times New Roman"/>
      <w:sz w:val="18"/>
      <w:szCs w:val="18"/>
    </w:rPr>
  </w:style>
  <w:style w:type="paragraph" w:styleId="Testocommento">
    <w:name w:val="annotation text"/>
    <w:basedOn w:val="Normale"/>
    <w:link w:val="TestocommentoCarattere"/>
    <w:uiPriority w:val="99"/>
    <w:rsid w:val="007537DB"/>
    <w:pPr>
      <w:spacing w:after="200"/>
      <w:jc w:val="left"/>
    </w:pPr>
    <w:rPr>
      <w:rFonts w:ascii="Cambria" w:eastAsia="Cambria" w:hAnsi="Cambria"/>
      <w:sz w:val="24"/>
      <w:szCs w:val="24"/>
    </w:rPr>
  </w:style>
  <w:style w:type="character" w:customStyle="1" w:styleId="TestocommentoCarattere">
    <w:name w:val="Testo commento Carattere"/>
    <w:link w:val="Testocommento"/>
    <w:uiPriority w:val="99"/>
    <w:rsid w:val="007537DB"/>
    <w:rPr>
      <w:rFonts w:ascii="Cambria" w:eastAsia="Cambria" w:hAnsi="Cambria" w:cs="Times New Roman"/>
      <w:sz w:val="24"/>
      <w:szCs w:val="24"/>
      <w:lang w:val="en-US"/>
    </w:rPr>
  </w:style>
  <w:style w:type="paragraph" w:styleId="Testofumetto">
    <w:name w:val="Balloon Text"/>
    <w:basedOn w:val="Normale"/>
    <w:link w:val="TestofumettoCarattere"/>
    <w:uiPriority w:val="99"/>
    <w:semiHidden/>
    <w:unhideWhenUsed/>
    <w:rsid w:val="007537DB"/>
    <w:rPr>
      <w:rFonts w:ascii="Segoe UI" w:hAnsi="Segoe UI" w:cs="Segoe UI"/>
      <w:sz w:val="18"/>
      <w:szCs w:val="18"/>
    </w:rPr>
  </w:style>
  <w:style w:type="character" w:customStyle="1" w:styleId="TestofumettoCarattere">
    <w:name w:val="Testo fumetto Carattere"/>
    <w:link w:val="Testofumetto"/>
    <w:uiPriority w:val="99"/>
    <w:semiHidden/>
    <w:rsid w:val="007537DB"/>
    <w:rPr>
      <w:rFonts w:ascii="Segoe UI" w:hAnsi="Segoe UI" w:cs="Segoe UI"/>
      <w:sz w:val="18"/>
      <w:szCs w:val="18"/>
      <w:lang w:val="en-US"/>
    </w:rPr>
  </w:style>
  <w:style w:type="paragraph" w:styleId="Soggettocommento">
    <w:name w:val="annotation subject"/>
    <w:basedOn w:val="Testocommento"/>
    <w:next w:val="Testocommento"/>
    <w:link w:val="SoggettocommentoCarattere"/>
    <w:uiPriority w:val="99"/>
    <w:semiHidden/>
    <w:unhideWhenUsed/>
    <w:rsid w:val="007537DB"/>
    <w:pPr>
      <w:spacing w:after="0"/>
      <w:jc w:val="center"/>
    </w:pPr>
    <w:rPr>
      <w:rFonts w:ascii="Calibri" w:eastAsia="Calibri" w:hAnsi="Calibri"/>
      <w:b/>
      <w:bCs/>
      <w:sz w:val="20"/>
      <w:szCs w:val="20"/>
    </w:rPr>
  </w:style>
  <w:style w:type="character" w:customStyle="1" w:styleId="SoggettocommentoCarattere">
    <w:name w:val="Soggetto commento Carattere"/>
    <w:link w:val="Soggettocommento"/>
    <w:uiPriority w:val="99"/>
    <w:semiHidden/>
    <w:rsid w:val="007537DB"/>
    <w:rPr>
      <w:rFonts w:ascii="Cambria" w:eastAsia="Cambria" w:hAnsi="Cambria" w:cs="Times New Roman"/>
      <w:b/>
      <w:bCs/>
      <w:sz w:val="20"/>
      <w:szCs w:val="20"/>
      <w:lang w:val="en-US"/>
    </w:rPr>
  </w:style>
  <w:style w:type="paragraph" w:styleId="Intestazione">
    <w:name w:val="header"/>
    <w:basedOn w:val="Normale"/>
    <w:link w:val="IntestazioneCarattere"/>
    <w:uiPriority w:val="99"/>
    <w:unhideWhenUsed/>
    <w:rsid w:val="007537DB"/>
    <w:pPr>
      <w:tabs>
        <w:tab w:val="center" w:pos="4819"/>
        <w:tab w:val="right" w:pos="9638"/>
      </w:tabs>
    </w:pPr>
  </w:style>
  <w:style w:type="character" w:customStyle="1" w:styleId="IntestazioneCarattere">
    <w:name w:val="Intestazione Carattere"/>
    <w:link w:val="Intestazione"/>
    <w:uiPriority w:val="99"/>
    <w:rsid w:val="007537DB"/>
    <w:rPr>
      <w:lang w:val="en-US"/>
    </w:rPr>
  </w:style>
  <w:style w:type="paragraph" w:styleId="Pidipagina">
    <w:name w:val="footer"/>
    <w:basedOn w:val="Normale"/>
    <w:link w:val="PidipaginaCarattere"/>
    <w:uiPriority w:val="99"/>
    <w:unhideWhenUsed/>
    <w:rsid w:val="007537DB"/>
    <w:pPr>
      <w:tabs>
        <w:tab w:val="center" w:pos="4819"/>
        <w:tab w:val="right" w:pos="9638"/>
      </w:tabs>
    </w:pPr>
  </w:style>
  <w:style w:type="character" w:customStyle="1" w:styleId="PidipaginaCarattere">
    <w:name w:val="Piè di pagina Carattere"/>
    <w:link w:val="Pidipagina"/>
    <w:uiPriority w:val="99"/>
    <w:rsid w:val="007537DB"/>
    <w:rPr>
      <w:lang w:val="en-US"/>
    </w:rPr>
  </w:style>
  <w:style w:type="paragraph" w:styleId="Corpotesto">
    <w:name w:val="Body Text"/>
    <w:aliases w:val="Corpo del testo"/>
    <w:link w:val="CorpotestoCarattere1"/>
    <w:uiPriority w:val="99"/>
    <w:rsid w:val="00CA3C54"/>
    <w:pPr>
      <w:spacing w:after="180" w:line="276" w:lineRule="auto"/>
      <w:jc w:val="both"/>
    </w:pPr>
    <w:rPr>
      <w:rFonts w:ascii="Palatino Linotype" w:eastAsia="Times New Roman" w:hAnsi="Palatino Linotype"/>
      <w:sz w:val="24"/>
      <w:szCs w:val="22"/>
      <w:lang w:val="en-GB" w:eastAsia="en-GB"/>
    </w:rPr>
  </w:style>
  <w:style w:type="character" w:customStyle="1" w:styleId="CorpotestoCarattere">
    <w:name w:val="Corpo testo Carattere"/>
    <w:uiPriority w:val="99"/>
    <w:semiHidden/>
    <w:rsid w:val="00CA3C54"/>
    <w:rPr>
      <w:lang w:val="en-US"/>
    </w:rPr>
  </w:style>
  <w:style w:type="character" w:customStyle="1" w:styleId="CorpotestoCarattere1">
    <w:name w:val="Corpo testo Carattere1"/>
    <w:aliases w:val="Corpo del testo Carattere"/>
    <w:link w:val="Corpotesto"/>
    <w:uiPriority w:val="99"/>
    <w:rsid w:val="00CA3C54"/>
    <w:rPr>
      <w:rFonts w:ascii="Palatino Linotype" w:eastAsia="Times New Roman" w:hAnsi="Palatino Linotype" w:cs="Times New Roman"/>
      <w:sz w:val="24"/>
      <w:lang w:eastAsia="en-GB"/>
    </w:rPr>
  </w:style>
  <w:style w:type="paragraph" w:styleId="Testonotaapidipagina">
    <w:name w:val="footnote text"/>
    <w:aliases w:val="Fußnotentextf,Fußnotentextr,stile 1,Footnote,Footnote1,Footnote2,Footnote3,Footnote4,Footnote5,Footnote6,Footnote7,Footnote8,Footnote9,Footnote10,Footnote11,Footnote21,Footnote31,Footnote41,Footnote51,Footnote61,Footnote71,fn"/>
    <w:basedOn w:val="Normale"/>
    <w:link w:val="TestonotaapidipaginaCarattere"/>
    <w:uiPriority w:val="99"/>
    <w:unhideWhenUsed/>
    <w:qFormat/>
    <w:rsid w:val="00CA3C54"/>
    <w:rPr>
      <w:sz w:val="20"/>
      <w:szCs w:val="20"/>
    </w:rPr>
  </w:style>
  <w:style w:type="character" w:customStyle="1" w:styleId="TestonotaapidipaginaCarattere">
    <w:name w:val="Testo nota a piè di pagina Carattere"/>
    <w:aliases w:val="Fußnotentextf Carattere,Fußnotentextr Carattere,stile 1 Carattere,Footnote Carattere,Footnote1 Carattere,Footnote2 Carattere,Footnote3 Carattere,Footnote4 Carattere,Footnote5 Carattere,Footnote6 Carattere"/>
    <w:link w:val="Testonotaapidipagina"/>
    <w:uiPriority w:val="99"/>
    <w:rsid w:val="00CA3C54"/>
    <w:rPr>
      <w:sz w:val="20"/>
      <w:szCs w:val="20"/>
      <w:lang w:val="en-US"/>
    </w:rPr>
  </w:style>
  <w:style w:type="character" w:styleId="Rimandonotaapidipagina">
    <w:name w:val="footnote reference"/>
    <w:aliases w:val="Footnote Reference Superscript,Footnote symbol,Footnotes refss,Footnote Reference/,richiamo note eggsi,Rimando nota a piè di pagina1,BVI fnr,Footnote Reference Number,Numbering - Footnote,nota de rodapé,ftref,SUPERS"/>
    <w:unhideWhenUsed/>
    <w:rsid w:val="00CA3C54"/>
    <w:rPr>
      <w:vertAlign w:val="superscript"/>
    </w:rPr>
  </w:style>
  <w:style w:type="table" w:styleId="Grigliatabella">
    <w:name w:val="Table Grid"/>
    <w:basedOn w:val="Tabellanormale"/>
    <w:uiPriority w:val="39"/>
    <w:rsid w:val="00D15E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unhideWhenUsed/>
    <w:rsid w:val="00AE04E3"/>
    <w:rPr>
      <w:color w:val="0563C1"/>
      <w:u w:val="single"/>
    </w:rPr>
  </w:style>
  <w:style w:type="paragraph" w:styleId="Revisione">
    <w:name w:val="Revision"/>
    <w:hidden/>
    <w:uiPriority w:val="99"/>
    <w:semiHidden/>
    <w:rsid w:val="00E93736"/>
    <w:rPr>
      <w:sz w:val="22"/>
      <w:szCs w:val="22"/>
      <w:lang w:val="en-GB" w:eastAsia="en-US"/>
    </w:rPr>
  </w:style>
  <w:style w:type="character" w:customStyle="1" w:styleId="lt-line-clampline">
    <w:name w:val="lt-line-clamp__line"/>
    <w:basedOn w:val="Carpredefinitoparagrafo"/>
    <w:rsid w:val="00F16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139">
      <w:bodyDiv w:val="1"/>
      <w:marLeft w:val="0"/>
      <w:marRight w:val="0"/>
      <w:marTop w:val="0"/>
      <w:marBottom w:val="0"/>
      <w:divBdr>
        <w:top w:val="none" w:sz="0" w:space="0" w:color="auto"/>
        <w:left w:val="none" w:sz="0" w:space="0" w:color="auto"/>
        <w:bottom w:val="none" w:sz="0" w:space="0" w:color="auto"/>
        <w:right w:val="none" w:sz="0" w:space="0" w:color="auto"/>
      </w:divBdr>
    </w:div>
    <w:div w:id="11810653">
      <w:bodyDiv w:val="1"/>
      <w:marLeft w:val="0"/>
      <w:marRight w:val="0"/>
      <w:marTop w:val="0"/>
      <w:marBottom w:val="0"/>
      <w:divBdr>
        <w:top w:val="none" w:sz="0" w:space="0" w:color="auto"/>
        <w:left w:val="none" w:sz="0" w:space="0" w:color="auto"/>
        <w:bottom w:val="none" w:sz="0" w:space="0" w:color="auto"/>
        <w:right w:val="none" w:sz="0" w:space="0" w:color="auto"/>
      </w:divBdr>
    </w:div>
    <w:div w:id="54161375">
      <w:bodyDiv w:val="1"/>
      <w:marLeft w:val="0"/>
      <w:marRight w:val="0"/>
      <w:marTop w:val="0"/>
      <w:marBottom w:val="0"/>
      <w:divBdr>
        <w:top w:val="none" w:sz="0" w:space="0" w:color="auto"/>
        <w:left w:val="none" w:sz="0" w:space="0" w:color="auto"/>
        <w:bottom w:val="none" w:sz="0" w:space="0" w:color="auto"/>
        <w:right w:val="none" w:sz="0" w:space="0" w:color="auto"/>
      </w:divBdr>
    </w:div>
    <w:div w:id="391195111">
      <w:bodyDiv w:val="1"/>
      <w:marLeft w:val="0"/>
      <w:marRight w:val="0"/>
      <w:marTop w:val="0"/>
      <w:marBottom w:val="0"/>
      <w:divBdr>
        <w:top w:val="none" w:sz="0" w:space="0" w:color="auto"/>
        <w:left w:val="none" w:sz="0" w:space="0" w:color="auto"/>
        <w:bottom w:val="none" w:sz="0" w:space="0" w:color="auto"/>
        <w:right w:val="none" w:sz="0" w:space="0" w:color="auto"/>
      </w:divBdr>
    </w:div>
    <w:div w:id="473065520">
      <w:bodyDiv w:val="1"/>
      <w:marLeft w:val="0"/>
      <w:marRight w:val="0"/>
      <w:marTop w:val="0"/>
      <w:marBottom w:val="0"/>
      <w:divBdr>
        <w:top w:val="none" w:sz="0" w:space="0" w:color="auto"/>
        <w:left w:val="none" w:sz="0" w:space="0" w:color="auto"/>
        <w:bottom w:val="none" w:sz="0" w:space="0" w:color="auto"/>
        <w:right w:val="none" w:sz="0" w:space="0" w:color="auto"/>
      </w:divBdr>
      <w:divsChild>
        <w:div w:id="17588952">
          <w:marLeft w:val="360"/>
          <w:marRight w:val="0"/>
          <w:marTop w:val="200"/>
          <w:marBottom w:val="0"/>
          <w:divBdr>
            <w:top w:val="none" w:sz="0" w:space="0" w:color="auto"/>
            <w:left w:val="none" w:sz="0" w:space="0" w:color="auto"/>
            <w:bottom w:val="none" w:sz="0" w:space="0" w:color="auto"/>
            <w:right w:val="none" w:sz="0" w:space="0" w:color="auto"/>
          </w:divBdr>
        </w:div>
        <w:div w:id="30887870">
          <w:marLeft w:val="360"/>
          <w:marRight w:val="0"/>
          <w:marTop w:val="200"/>
          <w:marBottom w:val="0"/>
          <w:divBdr>
            <w:top w:val="none" w:sz="0" w:space="0" w:color="auto"/>
            <w:left w:val="none" w:sz="0" w:space="0" w:color="auto"/>
            <w:bottom w:val="none" w:sz="0" w:space="0" w:color="auto"/>
            <w:right w:val="none" w:sz="0" w:space="0" w:color="auto"/>
          </w:divBdr>
        </w:div>
        <w:div w:id="601960226">
          <w:marLeft w:val="360"/>
          <w:marRight w:val="0"/>
          <w:marTop w:val="200"/>
          <w:marBottom w:val="0"/>
          <w:divBdr>
            <w:top w:val="none" w:sz="0" w:space="0" w:color="auto"/>
            <w:left w:val="none" w:sz="0" w:space="0" w:color="auto"/>
            <w:bottom w:val="none" w:sz="0" w:space="0" w:color="auto"/>
            <w:right w:val="none" w:sz="0" w:space="0" w:color="auto"/>
          </w:divBdr>
        </w:div>
        <w:div w:id="647322457">
          <w:marLeft w:val="360"/>
          <w:marRight w:val="0"/>
          <w:marTop w:val="200"/>
          <w:marBottom w:val="0"/>
          <w:divBdr>
            <w:top w:val="none" w:sz="0" w:space="0" w:color="auto"/>
            <w:left w:val="none" w:sz="0" w:space="0" w:color="auto"/>
            <w:bottom w:val="none" w:sz="0" w:space="0" w:color="auto"/>
            <w:right w:val="none" w:sz="0" w:space="0" w:color="auto"/>
          </w:divBdr>
        </w:div>
        <w:div w:id="1637300726">
          <w:marLeft w:val="360"/>
          <w:marRight w:val="0"/>
          <w:marTop w:val="200"/>
          <w:marBottom w:val="0"/>
          <w:divBdr>
            <w:top w:val="none" w:sz="0" w:space="0" w:color="auto"/>
            <w:left w:val="none" w:sz="0" w:space="0" w:color="auto"/>
            <w:bottom w:val="none" w:sz="0" w:space="0" w:color="auto"/>
            <w:right w:val="none" w:sz="0" w:space="0" w:color="auto"/>
          </w:divBdr>
        </w:div>
        <w:div w:id="2050717697">
          <w:marLeft w:val="360"/>
          <w:marRight w:val="0"/>
          <w:marTop w:val="200"/>
          <w:marBottom w:val="0"/>
          <w:divBdr>
            <w:top w:val="none" w:sz="0" w:space="0" w:color="auto"/>
            <w:left w:val="none" w:sz="0" w:space="0" w:color="auto"/>
            <w:bottom w:val="none" w:sz="0" w:space="0" w:color="auto"/>
            <w:right w:val="none" w:sz="0" w:space="0" w:color="auto"/>
          </w:divBdr>
        </w:div>
      </w:divsChild>
    </w:div>
    <w:div w:id="567960582">
      <w:bodyDiv w:val="1"/>
      <w:marLeft w:val="0"/>
      <w:marRight w:val="0"/>
      <w:marTop w:val="0"/>
      <w:marBottom w:val="0"/>
      <w:divBdr>
        <w:top w:val="none" w:sz="0" w:space="0" w:color="auto"/>
        <w:left w:val="none" w:sz="0" w:space="0" w:color="auto"/>
        <w:bottom w:val="none" w:sz="0" w:space="0" w:color="auto"/>
        <w:right w:val="none" w:sz="0" w:space="0" w:color="auto"/>
      </w:divBdr>
    </w:div>
    <w:div w:id="745304455">
      <w:bodyDiv w:val="1"/>
      <w:marLeft w:val="0"/>
      <w:marRight w:val="0"/>
      <w:marTop w:val="0"/>
      <w:marBottom w:val="0"/>
      <w:divBdr>
        <w:top w:val="none" w:sz="0" w:space="0" w:color="auto"/>
        <w:left w:val="none" w:sz="0" w:space="0" w:color="auto"/>
        <w:bottom w:val="none" w:sz="0" w:space="0" w:color="auto"/>
        <w:right w:val="none" w:sz="0" w:space="0" w:color="auto"/>
      </w:divBdr>
    </w:div>
    <w:div w:id="822501430">
      <w:bodyDiv w:val="1"/>
      <w:marLeft w:val="0"/>
      <w:marRight w:val="0"/>
      <w:marTop w:val="0"/>
      <w:marBottom w:val="0"/>
      <w:divBdr>
        <w:top w:val="none" w:sz="0" w:space="0" w:color="auto"/>
        <w:left w:val="none" w:sz="0" w:space="0" w:color="auto"/>
        <w:bottom w:val="none" w:sz="0" w:space="0" w:color="auto"/>
        <w:right w:val="none" w:sz="0" w:space="0" w:color="auto"/>
      </w:divBdr>
    </w:div>
    <w:div w:id="1079863313">
      <w:bodyDiv w:val="1"/>
      <w:marLeft w:val="0"/>
      <w:marRight w:val="0"/>
      <w:marTop w:val="0"/>
      <w:marBottom w:val="0"/>
      <w:divBdr>
        <w:top w:val="none" w:sz="0" w:space="0" w:color="auto"/>
        <w:left w:val="none" w:sz="0" w:space="0" w:color="auto"/>
        <w:bottom w:val="none" w:sz="0" w:space="0" w:color="auto"/>
        <w:right w:val="none" w:sz="0" w:space="0" w:color="auto"/>
      </w:divBdr>
    </w:div>
    <w:div w:id="1186165235">
      <w:bodyDiv w:val="1"/>
      <w:marLeft w:val="0"/>
      <w:marRight w:val="0"/>
      <w:marTop w:val="0"/>
      <w:marBottom w:val="0"/>
      <w:divBdr>
        <w:top w:val="none" w:sz="0" w:space="0" w:color="auto"/>
        <w:left w:val="none" w:sz="0" w:space="0" w:color="auto"/>
        <w:bottom w:val="none" w:sz="0" w:space="0" w:color="auto"/>
        <w:right w:val="none" w:sz="0" w:space="0" w:color="auto"/>
      </w:divBdr>
    </w:div>
    <w:div w:id="1283877709">
      <w:bodyDiv w:val="1"/>
      <w:marLeft w:val="0"/>
      <w:marRight w:val="0"/>
      <w:marTop w:val="0"/>
      <w:marBottom w:val="0"/>
      <w:divBdr>
        <w:top w:val="none" w:sz="0" w:space="0" w:color="auto"/>
        <w:left w:val="none" w:sz="0" w:space="0" w:color="auto"/>
        <w:bottom w:val="none" w:sz="0" w:space="0" w:color="auto"/>
        <w:right w:val="none" w:sz="0" w:space="0" w:color="auto"/>
      </w:divBdr>
      <w:divsChild>
        <w:div w:id="824316708">
          <w:marLeft w:val="0"/>
          <w:marRight w:val="0"/>
          <w:marTop w:val="0"/>
          <w:marBottom w:val="0"/>
          <w:divBdr>
            <w:top w:val="none" w:sz="0" w:space="0" w:color="auto"/>
            <w:left w:val="none" w:sz="0" w:space="0" w:color="auto"/>
            <w:bottom w:val="none" w:sz="0" w:space="0" w:color="auto"/>
            <w:right w:val="none" w:sz="0" w:space="0" w:color="auto"/>
          </w:divBdr>
        </w:div>
        <w:div w:id="1235047869">
          <w:marLeft w:val="0"/>
          <w:marRight w:val="0"/>
          <w:marTop w:val="0"/>
          <w:marBottom w:val="0"/>
          <w:divBdr>
            <w:top w:val="none" w:sz="0" w:space="0" w:color="auto"/>
            <w:left w:val="none" w:sz="0" w:space="0" w:color="auto"/>
            <w:bottom w:val="none" w:sz="0" w:space="0" w:color="auto"/>
            <w:right w:val="none" w:sz="0" w:space="0" w:color="auto"/>
          </w:divBdr>
        </w:div>
        <w:div w:id="1407073813">
          <w:marLeft w:val="0"/>
          <w:marRight w:val="0"/>
          <w:marTop w:val="0"/>
          <w:marBottom w:val="0"/>
          <w:divBdr>
            <w:top w:val="none" w:sz="0" w:space="0" w:color="auto"/>
            <w:left w:val="none" w:sz="0" w:space="0" w:color="auto"/>
            <w:bottom w:val="none" w:sz="0" w:space="0" w:color="auto"/>
            <w:right w:val="none" w:sz="0" w:space="0" w:color="auto"/>
          </w:divBdr>
        </w:div>
        <w:div w:id="900941240">
          <w:marLeft w:val="0"/>
          <w:marRight w:val="0"/>
          <w:marTop w:val="0"/>
          <w:marBottom w:val="0"/>
          <w:divBdr>
            <w:top w:val="none" w:sz="0" w:space="0" w:color="auto"/>
            <w:left w:val="none" w:sz="0" w:space="0" w:color="auto"/>
            <w:bottom w:val="none" w:sz="0" w:space="0" w:color="auto"/>
            <w:right w:val="none" w:sz="0" w:space="0" w:color="auto"/>
          </w:divBdr>
        </w:div>
        <w:div w:id="1052536565">
          <w:marLeft w:val="0"/>
          <w:marRight w:val="0"/>
          <w:marTop w:val="0"/>
          <w:marBottom w:val="0"/>
          <w:divBdr>
            <w:top w:val="none" w:sz="0" w:space="0" w:color="auto"/>
            <w:left w:val="none" w:sz="0" w:space="0" w:color="auto"/>
            <w:bottom w:val="none" w:sz="0" w:space="0" w:color="auto"/>
            <w:right w:val="none" w:sz="0" w:space="0" w:color="auto"/>
          </w:divBdr>
        </w:div>
      </w:divsChild>
    </w:div>
    <w:div w:id="1364478224">
      <w:bodyDiv w:val="1"/>
      <w:marLeft w:val="0"/>
      <w:marRight w:val="0"/>
      <w:marTop w:val="0"/>
      <w:marBottom w:val="0"/>
      <w:divBdr>
        <w:top w:val="none" w:sz="0" w:space="0" w:color="auto"/>
        <w:left w:val="none" w:sz="0" w:space="0" w:color="auto"/>
        <w:bottom w:val="none" w:sz="0" w:space="0" w:color="auto"/>
        <w:right w:val="none" w:sz="0" w:space="0" w:color="auto"/>
      </w:divBdr>
    </w:div>
    <w:div w:id="1365709584">
      <w:bodyDiv w:val="1"/>
      <w:marLeft w:val="0"/>
      <w:marRight w:val="0"/>
      <w:marTop w:val="0"/>
      <w:marBottom w:val="0"/>
      <w:divBdr>
        <w:top w:val="none" w:sz="0" w:space="0" w:color="auto"/>
        <w:left w:val="none" w:sz="0" w:space="0" w:color="auto"/>
        <w:bottom w:val="none" w:sz="0" w:space="0" w:color="auto"/>
        <w:right w:val="none" w:sz="0" w:space="0" w:color="auto"/>
      </w:divBdr>
    </w:div>
    <w:div w:id="1616446116">
      <w:bodyDiv w:val="1"/>
      <w:marLeft w:val="0"/>
      <w:marRight w:val="0"/>
      <w:marTop w:val="0"/>
      <w:marBottom w:val="0"/>
      <w:divBdr>
        <w:top w:val="none" w:sz="0" w:space="0" w:color="auto"/>
        <w:left w:val="none" w:sz="0" w:space="0" w:color="auto"/>
        <w:bottom w:val="none" w:sz="0" w:space="0" w:color="auto"/>
        <w:right w:val="none" w:sz="0" w:space="0" w:color="auto"/>
      </w:divBdr>
    </w:div>
    <w:div w:id="1721249651">
      <w:bodyDiv w:val="1"/>
      <w:marLeft w:val="0"/>
      <w:marRight w:val="0"/>
      <w:marTop w:val="0"/>
      <w:marBottom w:val="0"/>
      <w:divBdr>
        <w:top w:val="none" w:sz="0" w:space="0" w:color="auto"/>
        <w:left w:val="none" w:sz="0" w:space="0" w:color="auto"/>
        <w:bottom w:val="none" w:sz="0" w:space="0" w:color="auto"/>
        <w:right w:val="none" w:sz="0" w:space="0" w:color="auto"/>
      </w:divBdr>
    </w:div>
    <w:div w:id="1730566854">
      <w:bodyDiv w:val="1"/>
      <w:marLeft w:val="0"/>
      <w:marRight w:val="0"/>
      <w:marTop w:val="0"/>
      <w:marBottom w:val="0"/>
      <w:divBdr>
        <w:top w:val="none" w:sz="0" w:space="0" w:color="auto"/>
        <w:left w:val="none" w:sz="0" w:space="0" w:color="auto"/>
        <w:bottom w:val="none" w:sz="0" w:space="0" w:color="auto"/>
        <w:right w:val="none" w:sz="0" w:space="0" w:color="auto"/>
      </w:divBdr>
    </w:div>
    <w:div w:id="1803769499">
      <w:bodyDiv w:val="1"/>
      <w:marLeft w:val="0"/>
      <w:marRight w:val="0"/>
      <w:marTop w:val="0"/>
      <w:marBottom w:val="0"/>
      <w:divBdr>
        <w:top w:val="none" w:sz="0" w:space="0" w:color="auto"/>
        <w:left w:val="none" w:sz="0" w:space="0" w:color="auto"/>
        <w:bottom w:val="none" w:sz="0" w:space="0" w:color="auto"/>
        <w:right w:val="none" w:sz="0" w:space="0" w:color="auto"/>
      </w:divBdr>
    </w:div>
    <w:div w:id="1952079879">
      <w:bodyDiv w:val="1"/>
      <w:marLeft w:val="0"/>
      <w:marRight w:val="0"/>
      <w:marTop w:val="0"/>
      <w:marBottom w:val="0"/>
      <w:divBdr>
        <w:top w:val="none" w:sz="0" w:space="0" w:color="auto"/>
        <w:left w:val="none" w:sz="0" w:space="0" w:color="auto"/>
        <w:bottom w:val="none" w:sz="0" w:space="0" w:color="auto"/>
        <w:right w:val="none" w:sz="0" w:space="0" w:color="auto"/>
      </w:divBdr>
    </w:div>
    <w:div w:id="198142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lina.sandor\Desktop\SINAPPSI_descriptive_new.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alina.sandor\Desktop\SINAPPSI_descriptive_new.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8713073099905068E-2"/>
          <c:y val="0.10269979900229301"/>
          <c:w val="0.91291813257385379"/>
          <c:h val="0.71533110124669874"/>
        </c:manualLayout>
      </c:layout>
      <c:barChart>
        <c:barDir val="col"/>
        <c:grouping val="stacked"/>
        <c:varyColors val="0"/>
        <c:ser>
          <c:idx val="0"/>
          <c:order val="0"/>
          <c:tx>
            <c:strRef>
              <c:f>'changes in trajectories'!$B$2</c:f>
              <c:strCache>
                <c:ptCount val="1"/>
                <c:pt idx="0">
                  <c:v>Insecure</c:v>
                </c:pt>
              </c:strCache>
            </c:strRef>
          </c:tx>
          <c:spPr>
            <a:solidFill>
              <a:schemeClr val="accent1"/>
            </a:solidFill>
            <a:ln>
              <a:noFill/>
            </a:ln>
            <a:effectLst/>
          </c:spPr>
          <c:invertIfNegative val="0"/>
          <c:cat>
            <c:strRef>
              <c:f>'changes in trajectories'!$A$3:$A$27</c:f>
              <c:strCache>
                <c:ptCount val="25"/>
                <c:pt idx="0">
                  <c:v>LV</c:v>
                </c:pt>
                <c:pt idx="1">
                  <c:v>ES</c:v>
                </c:pt>
                <c:pt idx="2">
                  <c:v>RO</c:v>
                </c:pt>
                <c:pt idx="3">
                  <c:v>EL</c:v>
                </c:pt>
                <c:pt idx="4">
                  <c:v>LT</c:v>
                </c:pt>
                <c:pt idx="5">
                  <c:v>HU</c:v>
                </c:pt>
                <c:pt idx="6">
                  <c:v>IT</c:v>
                </c:pt>
                <c:pt idx="7">
                  <c:v>MT</c:v>
                </c:pt>
                <c:pt idx="8">
                  <c:v>PT</c:v>
                </c:pt>
                <c:pt idx="9">
                  <c:v>CY</c:v>
                </c:pt>
                <c:pt idx="10">
                  <c:v>SK</c:v>
                </c:pt>
                <c:pt idx="11">
                  <c:v>EE</c:v>
                </c:pt>
                <c:pt idx="12">
                  <c:v>BG</c:v>
                </c:pt>
                <c:pt idx="13">
                  <c:v>SI</c:v>
                </c:pt>
                <c:pt idx="14">
                  <c:v>LU</c:v>
                </c:pt>
                <c:pt idx="15">
                  <c:v>CZ</c:v>
                </c:pt>
                <c:pt idx="16">
                  <c:v>DK</c:v>
                </c:pt>
                <c:pt idx="17">
                  <c:v>BE</c:v>
                </c:pt>
                <c:pt idx="18">
                  <c:v>SE</c:v>
                </c:pt>
                <c:pt idx="19">
                  <c:v>FR</c:v>
                </c:pt>
                <c:pt idx="20">
                  <c:v>FI</c:v>
                </c:pt>
                <c:pt idx="21">
                  <c:v>UK</c:v>
                </c:pt>
                <c:pt idx="22">
                  <c:v>AT</c:v>
                </c:pt>
                <c:pt idx="23">
                  <c:v>NL</c:v>
                </c:pt>
                <c:pt idx="24">
                  <c:v>PL</c:v>
                </c:pt>
              </c:strCache>
            </c:strRef>
          </c:cat>
          <c:val>
            <c:numRef>
              <c:f>'changes in trajectories'!$B$3:$B$27</c:f>
              <c:numCache>
                <c:formatCode>0.00</c:formatCode>
                <c:ptCount val="25"/>
                <c:pt idx="0">
                  <c:v>13.569999999999997</c:v>
                </c:pt>
                <c:pt idx="1">
                  <c:v>11.639999999999997</c:v>
                </c:pt>
                <c:pt idx="2">
                  <c:v>11.010000000000002</c:v>
                </c:pt>
                <c:pt idx="3">
                  <c:v>10.919999999999995</c:v>
                </c:pt>
                <c:pt idx="4">
                  <c:v>8.48</c:v>
                </c:pt>
                <c:pt idx="5">
                  <c:v>5.59</c:v>
                </c:pt>
                <c:pt idx="6">
                  <c:v>4.8999999999999986</c:v>
                </c:pt>
                <c:pt idx="7">
                  <c:v>4.0399999999999991</c:v>
                </c:pt>
                <c:pt idx="8">
                  <c:v>3.6700000000000017</c:v>
                </c:pt>
                <c:pt idx="9">
                  <c:v>3.4999999999999964</c:v>
                </c:pt>
                <c:pt idx="10">
                  <c:v>3.2299999999999969</c:v>
                </c:pt>
                <c:pt idx="11">
                  <c:v>2.84</c:v>
                </c:pt>
                <c:pt idx="12">
                  <c:v>2.4299999999999997</c:v>
                </c:pt>
                <c:pt idx="13">
                  <c:v>2.0499999999999989</c:v>
                </c:pt>
                <c:pt idx="14">
                  <c:v>1.9600000000000009</c:v>
                </c:pt>
                <c:pt idx="15">
                  <c:v>1.3099999999999987</c:v>
                </c:pt>
                <c:pt idx="16">
                  <c:v>1.0099999999999998</c:v>
                </c:pt>
                <c:pt idx="17">
                  <c:v>0.87000000000000099</c:v>
                </c:pt>
                <c:pt idx="18">
                  <c:v>0.71000000000000085</c:v>
                </c:pt>
                <c:pt idx="19">
                  <c:v>0.67000000000000171</c:v>
                </c:pt>
                <c:pt idx="20">
                  <c:v>0.16000000000000014</c:v>
                </c:pt>
                <c:pt idx="21">
                  <c:v>-1.2600000000000016</c:v>
                </c:pt>
                <c:pt idx="22">
                  <c:v>-1.6999999999999993</c:v>
                </c:pt>
                <c:pt idx="23">
                  <c:v>-2.9299999999999997</c:v>
                </c:pt>
                <c:pt idx="24">
                  <c:v>-3.5200000000000031</c:v>
                </c:pt>
              </c:numCache>
            </c:numRef>
          </c:val>
          <c:extLst>
            <c:ext xmlns:c16="http://schemas.microsoft.com/office/drawing/2014/chart" uri="{C3380CC4-5D6E-409C-BE32-E72D297353CC}">
              <c16:uniqueId val="{00000000-A287-4DEB-8EFF-483685DA3508}"/>
            </c:ext>
          </c:extLst>
        </c:ser>
        <c:ser>
          <c:idx val="1"/>
          <c:order val="1"/>
          <c:tx>
            <c:strRef>
              <c:f>'changes in trajectories'!$C$2</c:f>
              <c:strCache>
                <c:ptCount val="1"/>
                <c:pt idx="0">
                  <c:v>Secure </c:v>
                </c:pt>
              </c:strCache>
            </c:strRef>
          </c:tx>
          <c:spPr>
            <a:solidFill>
              <a:schemeClr val="accent2"/>
            </a:solidFill>
            <a:ln>
              <a:noFill/>
            </a:ln>
            <a:effectLst/>
          </c:spPr>
          <c:invertIfNegative val="0"/>
          <c:cat>
            <c:strRef>
              <c:f>'changes in trajectories'!$A$3:$A$27</c:f>
              <c:strCache>
                <c:ptCount val="25"/>
                <c:pt idx="0">
                  <c:v>LV</c:v>
                </c:pt>
                <c:pt idx="1">
                  <c:v>ES</c:v>
                </c:pt>
                <c:pt idx="2">
                  <c:v>RO</c:v>
                </c:pt>
                <c:pt idx="3">
                  <c:v>EL</c:v>
                </c:pt>
                <c:pt idx="4">
                  <c:v>LT</c:v>
                </c:pt>
                <c:pt idx="5">
                  <c:v>HU</c:v>
                </c:pt>
                <c:pt idx="6">
                  <c:v>IT</c:v>
                </c:pt>
                <c:pt idx="7">
                  <c:v>MT</c:v>
                </c:pt>
                <c:pt idx="8">
                  <c:v>PT</c:v>
                </c:pt>
                <c:pt idx="9">
                  <c:v>CY</c:v>
                </c:pt>
                <c:pt idx="10">
                  <c:v>SK</c:v>
                </c:pt>
                <c:pt idx="11">
                  <c:v>EE</c:v>
                </c:pt>
                <c:pt idx="12">
                  <c:v>BG</c:v>
                </c:pt>
                <c:pt idx="13">
                  <c:v>SI</c:v>
                </c:pt>
                <c:pt idx="14">
                  <c:v>LU</c:v>
                </c:pt>
                <c:pt idx="15">
                  <c:v>CZ</c:v>
                </c:pt>
                <c:pt idx="16">
                  <c:v>DK</c:v>
                </c:pt>
                <c:pt idx="17">
                  <c:v>BE</c:v>
                </c:pt>
                <c:pt idx="18">
                  <c:v>SE</c:v>
                </c:pt>
                <c:pt idx="19">
                  <c:v>FR</c:v>
                </c:pt>
                <c:pt idx="20">
                  <c:v>FI</c:v>
                </c:pt>
                <c:pt idx="21">
                  <c:v>UK</c:v>
                </c:pt>
                <c:pt idx="22">
                  <c:v>AT</c:v>
                </c:pt>
                <c:pt idx="23">
                  <c:v>NL</c:v>
                </c:pt>
                <c:pt idx="24">
                  <c:v>PL</c:v>
                </c:pt>
              </c:strCache>
            </c:strRef>
          </c:cat>
          <c:val>
            <c:numRef>
              <c:f>'changes in trajectories'!$C$3:$C$27</c:f>
              <c:numCache>
                <c:formatCode>0.00</c:formatCode>
                <c:ptCount val="25"/>
                <c:pt idx="0">
                  <c:v>-13.640000000000015</c:v>
                </c:pt>
                <c:pt idx="1">
                  <c:v>-12.319999999999993</c:v>
                </c:pt>
                <c:pt idx="2">
                  <c:v>-10.810000000000002</c:v>
                </c:pt>
                <c:pt idx="3">
                  <c:v>-11</c:v>
                </c:pt>
                <c:pt idx="4">
                  <c:v>-8.2800000000000011</c:v>
                </c:pt>
                <c:pt idx="5">
                  <c:v>-5.9500000000000028</c:v>
                </c:pt>
                <c:pt idx="6">
                  <c:v>-5.3100000000000023</c:v>
                </c:pt>
                <c:pt idx="7">
                  <c:v>-4.1200000000000045</c:v>
                </c:pt>
                <c:pt idx="8">
                  <c:v>-3.9099999999999966</c:v>
                </c:pt>
                <c:pt idx="9">
                  <c:v>-3.4000000000000057</c:v>
                </c:pt>
                <c:pt idx="10">
                  <c:v>-3.4200000000000017</c:v>
                </c:pt>
                <c:pt idx="11">
                  <c:v>-3.5100000000000051</c:v>
                </c:pt>
                <c:pt idx="12">
                  <c:v>-2.3599999999999994</c:v>
                </c:pt>
                <c:pt idx="13">
                  <c:v>-1.8000000000000114</c:v>
                </c:pt>
                <c:pt idx="14">
                  <c:v>-1.8400000000000034</c:v>
                </c:pt>
                <c:pt idx="15">
                  <c:v>-1.1700000000000017</c:v>
                </c:pt>
                <c:pt idx="16">
                  <c:v>-1.269999999999996</c:v>
                </c:pt>
                <c:pt idx="17">
                  <c:v>-1.1000000000000085</c:v>
                </c:pt>
                <c:pt idx="18">
                  <c:v>-0.62000000000000455</c:v>
                </c:pt>
                <c:pt idx="19">
                  <c:v>-0.43000000000000682</c:v>
                </c:pt>
                <c:pt idx="20">
                  <c:v>0.10999999999999943</c:v>
                </c:pt>
                <c:pt idx="21">
                  <c:v>1</c:v>
                </c:pt>
                <c:pt idx="22">
                  <c:v>0.42000000000001592</c:v>
                </c:pt>
                <c:pt idx="23">
                  <c:v>3.0699999999999932</c:v>
                </c:pt>
                <c:pt idx="24">
                  <c:v>3.7199999999999989</c:v>
                </c:pt>
              </c:numCache>
            </c:numRef>
          </c:val>
          <c:extLst>
            <c:ext xmlns:c16="http://schemas.microsoft.com/office/drawing/2014/chart" uri="{C3380CC4-5D6E-409C-BE32-E72D297353CC}">
              <c16:uniqueId val="{00000001-A287-4DEB-8EFF-483685DA3508}"/>
            </c:ext>
          </c:extLst>
        </c:ser>
        <c:ser>
          <c:idx val="2"/>
          <c:order val="2"/>
          <c:tx>
            <c:strRef>
              <c:f>'changes in trajectories'!$D$2</c:f>
              <c:strCache>
                <c:ptCount val="1"/>
                <c:pt idx="0">
                  <c:v>Return to Education</c:v>
                </c:pt>
              </c:strCache>
            </c:strRef>
          </c:tx>
          <c:spPr>
            <a:solidFill>
              <a:srgbClr val="92D050"/>
            </a:solidFill>
            <a:ln>
              <a:noFill/>
            </a:ln>
            <a:effectLst/>
          </c:spPr>
          <c:invertIfNegative val="0"/>
          <c:cat>
            <c:strRef>
              <c:f>'changes in trajectories'!$A$3:$A$27</c:f>
              <c:strCache>
                <c:ptCount val="25"/>
                <c:pt idx="0">
                  <c:v>LV</c:v>
                </c:pt>
                <c:pt idx="1">
                  <c:v>ES</c:v>
                </c:pt>
                <c:pt idx="2">
                  <c:v>RO</c:v>
                </c:pt>
                <c:pt idx="3">
                  <c:v>EL</c:v>
                </c:pt>
                <c:pt idx="4">
                  <c:v>LT</c:v>
                </c:pt>
                <c:pt idx="5">
                  <c:v>HU</c:v>
                </c:pt>
                <c:pt idx="6">
                  <c:v>IT</c:v>
                </c:pt>
                <c:pt idx="7">
                  <c:v>MT</c:v>
                </c:pt>
                <c:pt idx="8">
                  <c:v>PT</c:v>
                </c:pt>
                <c:pt idx="9">
                  <c:v>CY</c:v>
                </c:pt>
                <c:pt idx="10">
                  <c:v>SK</c:v>
                </c:pt>
                <c:pt idx="11">
                  <c:v>EE</c:v>
                </c:pt>
                <c:pt idx="12">
                  <c:v>BG</c:v>
                </c:pt>
                <c:pt idx="13">
                  <c:v>SI</c:v>
                </c:pt>
                <c:pt idx="14">
                  <c:v>LU</c:v>
                </c:pt>
                <c:pt idx="15">
                  <c:v>CZ</c:v>
                </c:pt>
                <c:pt idx="16">
                  <c:v>DK</c:v>
                </c:pt>
                <c:pt idx="17">
                  <c:v>BE</c:v>
                </c:pt>
                <c:pt idx="18">
                  <c:v>SE</c:v>
                </c:pt>
                <c:pt idx="19">
                  <c:v>FR</c:v>
                </c:pt>
                <c:pt idx="20">
                  <c:v>FI</c:v>
                </c:pt>
                <c:pt idx="21">
                  <c:v>UK</c:v>
                </c:pt>
                <c:pt idx="22">
                  <c:v>AT</c:v>
                </c:pt>
                <c:pt idx="23">
                  <c:v>NL</c:v>
                </c:pt>
                <c:pt idx="24">
                  <c:v>PL</c:v>
                </c:pt>
              </c:strCache>
            </c:strRef>
          </c:cat>
          <c:val>
            <c:numRef>
              <c:f>'changes in trajectories'!$D$3:$D$27</c:f>
              <c:numCache>
                <c:formatCode>0.00</c:formatCode>
                <c:ptCount val="25"/>
                <c:pt idx="0">
                  <c:v>8.0000000000000016E-2</c:v>
                </c:pt>
                <c:pt idx="1">
                  <c:v>0.68000000000000016</c:v>
                </c:pt>
                <c:pt idx="2">
                  <c:v>-0.2</c:v>
                </c:pt>
                <c:pt idx="3">
                  <c:v>7.999999999999996E-2</c:v>
                </c:pt>
                <c:pt idx="4">
                  <c:v>-0.2</c:v>
                </c:pt>
                <c:pt idx="5">
                  <c:v>0.36</c:v>
                </c:pt>
                <c:pt idx="6">
                  <c:v>0.40999999999999992</c:v>
                </c:pt>
                <c:pt idx="7">
                  <c:v>9.0000000000000024E-2</c:v>
                </c:pt>
                <c:pt idx="8">
                  <c:v>0.24</c:v>
                </c:pt>
                <c:pt idx="9">
                  <c:v>-9.9999999999999978E-2</c:v>
                </c:pt>
                <c:pt idx="10">
                  <c:v>0.19</c:v>
                </c:pt>
                <c:pt idx="11">
                  <c:v>0.65</c:v>
                </c:pt>
                <c:pt idx="12">
                  <c:v>-7.0000000000000007E-2</c:v>
                </c:pt>
                <c:pt idx="13">
                  <c:v>-0.26</c:v>
                </c:pt>
                <c:pt idx="14">
                  <c:v>-0.11000000000000001</c:v>
                </c:pt>
                <c:pt idx="15">
                  <c:v>-0.13</c:v>
                </c:pt>
                <c:pt idx="16">
                  <c:v>0.27</c:v>
                </c:pt>
                <c:pt idx="17">
                  <c:v>0.21999999999999997</c:v>
                </c:pt>
                <c:pt idx="18">
                  <c:v>-7.999999999999996E-2</c:v>
                </c:pt>
                <c:pt idx="19">
                  <c:v>-0.24</c:v>
                </c:pt>
                <c:pt idx="20">
                  <c:v>-0.29000000000000015</c:v>
                </c:pt>
                <c:pt idx="21">
                  <c:v>0.24999999999999997</c:v>
                </c:pt>
                <c:pt idx="22">
                  <c:v>1.28</c:v>
                </c:pt>
                <c:pt idx="23">
                  <c:v>-0.13</c:v>
                </c:pt>
                <c:pt idx="24">
                  <c:v>-0.19</c:v>
                </c:pt>
              </c:numCache>
            </c:numRef>
          </c:val>
          <c:extLst>
            <c:ext xmlns:c16="http://schemas.microsoft.com/office/drawing/2014/chart" uri="{C3380CC4-5D6E-409C-BE32-E72D297353CC}">
              <c16:uniqueId val="{00000002-A287-4DEB-8EFF-483685DA3508}"/>
            </c:ext>
          </c:extLst>
        </c:ser>
        <c:dLbls>
          <c:showLegendKey val="0"/>
          <c:showVal val="0"/>
          <c:showCatName val="0"/>
          <c:showSerName val="0"/>
          <c:showPercent val="0"/>
          <c:showBubbleSize val="0"/>
        </c:dLbls>
        <c:gapWidth val="150"/>
        <c:overlap val="100"/>
        <c:axId val="150227200"/>
        <c:axId val="150237184"/>
      </c:barChart>
      <c:catAx>
        <c:axId val="150227200"/>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it-IT"/>
          </a:p>
        </c:txPr>
        <c:crossAx val="150237184"/>
        <c:crosses val="autoZero"/>
        <c:auto val="1"/>
        <c:lblAlgn val="ctr"/>
        <c:lblOffset val="100"/>
        <c:noMultiLvlLbl val="0"/>
      </c:catAx>
      <c:valAx>
        <c:axId val="150237184"/>
        <c:scaling>
          <c:orientation val="minMax"/>
          <c:max val="15"/>
          <c:min val="-15"/>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it-IT"/>
          </a:p>
        </c:txPr>
        <c:crossAx val="150227200"/>
        <c:crosses val="autoZero"/>
        <c:crossBetween val="between"/>
        <c:majorUnit val="3"/>
      </c:valAx>
      <c:spPr>
        <a:noFill/>
        <a:ln>
          <a:noFill/>
        </a:ln>
        <a:effectLst/>
      </c:spPr>
    </c:plotArea>
    <c:legend>
      <c:legendPos val="b"/>
      <c:layout>
        <c:manualLayout>
          <c:xMode val="edge"/>
          <c:yMode val="edge"/>
          <c:x val="0.25793466936940962"/>
          <c:y val="0.91923455090590944"/>
          <c:w val="0.48413051323597023"/>
          <c:h val="5.5284224543185156E-2"/>
        </c:manualLayout>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it-IT"/>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853915624764157"/>
          <c:y val="6.1568033586089504E-2"/>
          <c:w val="0.85146621049365634"/>
          <c:h val="0.78209430695664239"/>
        </c:manualLayout>
      </c:layout>
      <c:scatterChart>
        <c:scatterStyle val="lineMarker"/>
        <c:varyColors val="0"/>
        <c:ser>
          <c:idx val="0"/>
          <c:order val="0"/>
          <c:tx>
            <c:v>Before crisis</c:v>
          </c:tx>
          <c:spPr>
            <a:ln w="19050" cap="rnd">
              <a:noFill/>
              <a:round/>
            </a:ln>
            <a:effectLst/>
          </c:spPr>
          <c:marker>
            <c:symbol val="circle"/>
            <c:size val="5"/>
            <c:spPr>
              <a:solidFill>
                <a:srgbClr val="00B050"/>
              </a:solidFill>
              <a:ln w="9525">
                <a:solidFill>
                  <a:srgbClr val="00B050"/>
                </a:solidFill>
              </a:ln>
              <a:effectLst/>
            </c:spPr>
          </c:marker>
          <c:dLbls>
            <c:dLbl>
              <c:idx val="0"/>
              <c:tx>
                <c:rich>
                  <a:bodyPr/>
                  <a:lstStyle/>
                  <a:p>
                    <a:fld id="{DCDA7138-DAA4-4F06-B32C-960FF3EF5C26}" type="CELLRANGE">
                      <a:rPr lang="en-US"/>
                      <a:pPr/>
                      <a:t>[INTERVALLOCELLE]</a:t>
                    </a:fld>
                    <a:endParaRPr lang="it-IT"/>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0-82BA-4175-ACFD-648F5B387A1D}"/>
                </c:ext>
              </c:extLst>
            </c:dLbl>
            <c:dLbl>
              <c:idx val="1"/>
              <c:tx>
                <c:rich>
                  <a:bodyPr/>
                  <a:lstStyle/>
                  <a:p>
                    <a:fld id="{01BB6CD7-BBEC-4C00-9C77-94A4D9315DBB}" type="CELLRANGE">
                      <a:rPr lang="it-IT"/>
                      <a:pPr/>
                      <a:t>[INTERVALLOCELLE]</a:t>
                    </a:fld>
                    <a:endParaRPr lang="it-IT"/>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1-82BA-4175-ACFD-648F5B387A1D}"/>
                </c:ext>
              </c:extLst>
            </c:dLbl>
            <c:dLbl>
              <c:idx val="2"/>
              <c:tx>
                <c:rich>
                  <a:bodyPr/>
                  <a:lstStyle/>
                  <a:p>
                    <a:fld id="{F3A9B8B2-F4AB-4464-865C-7A7E0035A3CC}" type="CELLRANGE">
                      <a:rPr lang="it-IT"/>
                      <a:pPr/>
                      <a:t>[INTERVALLOCELLE]</a:t>
                    </a:fld>
                    <a:endParaRPr lang="it-IT"/>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2-82BA-4175-ACFD-648F5B387A1D}"/>
                </c:ext>
              </c:extLst>
            </c:dLbl>
            <c:dLbl>
              <c:idx val="3"/>
              <c:tx>
                <c:rich>
                  <a:bodyPr/>
                  <a:lstStyle/>
                  <a:p>
                    <a:fld id="{EB709F1B-E63B-41FA-9180-C6A616E0C3FE}" type="CELLRANGE">
                      <a:rPr lang="it-IT"/>
                      <a:pPr/>
                      <a:t>[INTERVALLOCELLE]</a:t>
                    </a:fld>
                    <a:endParaRPr lang="it-IT"/>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3-82BA-4175-ACFD-648F5B387A1D}"/>
                </c:ext>
              </c:extLst>
            </c:dLbl>
            <c:dLbl>
              <c:idx val="4"/>
              <c:tx>
                <c:rich>
                  <a:bodyPr/>
                  <a:lstStyle/>
                  <a:p>
                    <a:fld id="{C9E5BE28-038C-4EA7-8DE9-488DBDFF3AC9}" type="CELLRANGE">
                      <a:rPr lang="it-IT"/>
                      <a:pPr/>
                      <a:t>[INTERVALLOCELLE]</a:t>
                    </a:fld>
                    <a:endParaRPr lang="it-IT"/>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4-82BA-4175-ACFD-648F5B387A1D}"/>
                </c:ext>
              </c:extLst>
            </c:dLbl>
            <c:dLbl>
              <c:idx val="5"/>
              <c:layout>
                <c:manualLayout>
                  <c:x val="-5.1118210862619806E-2"/>
                  <c:y val="-1.5392008396522376E-2"/>
                </c:manualLayout>
              </c:layout>
              <c:tx>
                <c:rich>
                  <a:bodyPr/>
                  <a:lstStyle/>
                  <a:p>
                    <a:fld id="{631D6071-D83D-4631-932A-AFD290D37CD5}" type="CELLRANGE">
                      <a:rPr lang="en-US"/>
                      <a:pPr/>
                      <a:t>[INTERVALLOCELLE]</a:t>
                    </a:fld>
                    <a:endParaRPr lang="it-IT"/>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5-82BA-4175-ACFD-648F5B387A1D}"/>
                </c:ext>
              </c:extLst>
            </c:dLbl>
            <c:dLbl>
              <c:idx val="6"/>
              <c:tx>
                <c:rich>
                  <a:bodyPr/>
                  <a:lstStyle/>
                  <a:p>
                    <a:fld id="{9D8E35AE-D8F9-4E14-9450-016918F2381E}" type="CELLRANGE">
                      <a:rPr lang="it-IT"/>
                      <a:pPr/>
                      <a:t>[INTERVALLOCELLE]</a:t>
                    </a:fld>
                    <a:endParaRPr lang="it-IT"/>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6-82BA-4175-ACFD-648F5B387A1D}"/>
                </c:ext>
              </c:extLst>
            </c:dLbl>
            <c:dLbl>
              <c:idx val="7"/>
              <c:layout>
                <c:manualLayout>
                  <c:x val="-2.2870207430980595E-2"/>
                  <c:y val="-3.8480020991306083E-2"/>
                </c:manualLayout>
              </c:layout>
              <c:tx>
                <c:rich>
                  <a:bodyPr/>
                  <a:lstStyle/>
                  <a:p>
                    <a:fld id="{755847EB-A7A1-476E-81AE-994DB95FBCEE}" type="CELLRANGE">
                      <a:rPr lang="en-US"/>
                      <a:pPr/>
                      <a:t>[INTERVALLOCELLE]</a:t>
                    </a:fld>
                    <a:endParaRPr lang="it-IT"/>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7-82BA-4175-ACFD-648F5B387A1D}"/>
                </c:ext>
              </c:extLst>
            </c:dLbl>
            <c:dLbl>
              <c:idx val="8"/>
              <c:layout>
                <c:manualLayout>
                  <c:x val="-1.0649627263045794E-2"/>
                  <c:y val="2.6936014693914087E-2"/>
                </c:manualLayout>
              </c:layout>
              <c:tx>
                <c:rich>
                  <a:bodyPr/>
                  <a:lstStyle/>
                  <a:p>
                    <a:fld id="{6E7E302F-43A7-41A0-BE10-A47B7E278D11}" type="CELLRANGE">
                      <a:rPr lang="en-US"/>
                      <a:pPr/>
                      <a:t>[INTERVALLOCELLE]</a:t>
                    </a:fld>
                    <a:endParaRPr lang="it-IT"/>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8-82BA-4175-ACFD-648F5B387A1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xVal>
            <c:numRef>
              <c:f>'[SINAPPSI_descriptive_new.xlsx]graph with arrows'!$K$34:$K$42</c:f>
              <c:numCache>
                <c:formatCode>0.00%</c:formatCode>
                <c:ptCount val="9"/>
                <c:pt idx="0">
                  <c:v>0.16070000000000001</c:v>
                </c:pt>
                <c:pt idx="1">
                  <c:v>0.1263</c:v>
                </c:pt>
                <c:pt idx="2">
                  <c:v>5.0999999999999997E-2</c:v>
                </c:pt>
                <c:pt idx="3">
                  <c:v>0.2379</c:v>
                </c:pt>
                <c:pt idx="4">
                  <c:v>0.19359999999999999</c:v>
                </c:pt>
                <c:pt idx="5">
                  <c:v>0.11840000000000001</c:v>
                </c:pt>
                <c:pt idx="6">
                  <c:v>0.1263</c:v>
                </c:pt>
                <c:pt idx="7">
                  <c:v>0.18990000000000001</c:v>
                </c:pt>
                <c:pt idx="8">
                  <c:v>0.33340000000000003</c:v>
                </c:pt>
              </c:numCache>
            </c:numRef>
          </c:xVal>
          <c:yVal>
            <c:numRef>
              <c:f>'[SINAPPSI_descriptive_new.xlsx]graph with arrows'!$L$34:$L$42</c:f>
              <c:numCache>
                <c:formatCode>General</c:formatCode>
                <c:ptCount val="9"/>
                <c:pt idx="0">
                  <c:v>27</c:v>
                </c:pt>
                <c:pt idx="1">
                  <c:v>45</c:v>
                </c:pt>
                <c:pt idx="2">
                  <c:v>15</c:v>
                </c:pt>
                <c:pt idx="3">
                  <c:v>29</c:v>
                </c:pt>
                <c:pt idx="4">
                  <c:v>53</c:v>
                </c:pt>
                <c:pt idx="5">
                  <c:v>22</c:v>
                </c:pt>
                <c:pt idx="6">
                  <c:v>17</c:v>
                </c:pt>
                <c:pt idx="7">
                  <c:v>29</c:v>
                </c:pt>
                <c:pt idx="8">
                  <c:v>37</c:v>
                </c:pt>
              </c:numCache>
            </c:numRef>
          </c:yVal>
          <c:smooth val="0"/>
          <c:extLst>
            <c:ext xmlns:c15="http://schemas.microsoft.com/office/drawing/2012/chart" uri="{02D57815-91ED-43cb-92C2-25804820EDAC}">
              <c15:datalabelsRange>
                <c15:f>'[SINAPPSI_descriptive_new.xlsx]graph with arrows'!$N$34:$N$42</c15:f>
                <c15:dlblRangeCache>
                  <c:ptCount val="9"/>
                  <c:pt idx="0">
                    <c:v>AT</c:v>
                  </c:pt>
                  <c:pt idx="1">
                    <c:v>BE</c:v>
                  </c:pt>
                  <c:pt idx="2">
                    <c:v>DK</c:v>
                  </c:pt>
                  <c:pt idx="3">
                    <c:v>FI</c:v>
                  </c:pt>
                  <c:pt idx="4">
                    <c:v>FR</c:v>
                  </c:pt>
                  <c:pt idx="5">
                    <c:v>LU</c:v>
                  </c:pt>
                  <c:pt idx="6">
                    <c:v>SI</c:v>
                  </c:pt>
                  <c:pt idx="7">
                    <c:v>UK</c:v>
                  </c:pt>
                  <c:pt idx="8">
                    <c:v>BG</c:v>
                  </c:pt>
                </c15:dlblRangeCache>
              </c15:datalabelsRange>
            </c:ext>
            <c:ext xmlns:c16="http://schemas.microsoft.com/office/drawing/2014/chart" uri="{C3380CC4-5D6E-409C-BE32-E72D297353CC}">
              <c16:uniqueId val="{00000009-82BA-4175-ACFD-648F5B387A1D}"/>
            </c:ext>
          </c:extLst>
        </c:ser>
        <c:ser>
          <c:idx val="1"/>
          <c:order val="1"/>
          <c:tx>
            <c:v>During crisis</c:v>
          </c:tx>
          <c:spPr>
            <a:ln w="25400" cap="rnd">
              <a:noFill/>
              <a:round/>
            </a:ln>
            <a:effectLst/>
          </c:spPr>
          <c:marker>
            <c:symbol val="square"/>
            <c:size val="5"/>
            <c:spPr>
              <a:solidFill>
                <a:srgbClr val="C00000"/>
              </a:solidFill>
              <a:ln w="9525">
                <a:solidFill>
                  <a:srgbClr val="C00000"/>
                </a:solidFill>
              </a:ln>
              <a:effectLst/>
            </c:spPr>
          </c:marker>
          <c:dLbls>
            <c:dLbl>
              <c:idx val="0"/>
              <c:tx>
                <c:rich>
                  <a:bodyPr/>
                  <a:lstStyle/>
                  <a:p>
                    <a:fld id="{9123BF9E-527A-4323-B052-4DF88D12D432}" type="CELLRANGE">
                      <a:rPr lang="en-US"/>
                      <a:pPr/>
                      <a:t>[INTERVALLOCELLE]</a:t>
                    </a:fld>
                    <a:endParaRPr lang="it-IT"/>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A-82BA-4175-ACFD-648F5B387A1D}"/>
                </c:ext>
              </c:extLst>
            </c:dLbl>
            <c:dLbl>
              <c:idx val="1"/>
              <c:tx>
                <c:rich>
                  <a:bodyPr/>
                  <a:lstStyle/>
                  <a:p>
                    <a:fld id="{894464A8-2C69-441D-ACD7-2F16915D0418}" type="CELLRANGE">
                      <a:rPr lang="it-IT"/>
                      <a:pPr/>
                      <a:t>[INTERVALLOCELLE]</a:t>
                    </a:fld>
                    <a:endParaRPr lang="it-IT"/>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B-82BA-4175-ACFD-648F5B387A1D}"/>
                </c:ext>
              </c:extLst>
            </c:dLbl>
            <c:dLbl>
              <c:idx val="2"/>
              <c:tx>
                <c:rich>
                  <a:bodyPr/>
                  <a:lstStyle/>
                  <a:p>
                    <a:fld id="{58BE118E-4895-4CD0-999D-448A9D56B625}" type="CELLRANGE">
                      <a:rPr lang="it-IT"/>
                      <a:pPr/>
                      <a:t>[INTERVALLOCELLE]</a:t>
                    </a:fld>
                    <a:endParaRPr lang="it-IT"/>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C-82BA-4175-ACFD-648F5B387A1D}"/>
                </c:ext>
              </c:extLst>
            </c:dLbl>
            <c:dLbl>
              <c:idx val="3"/>
              <c:tx>
                <c:rich>
                  <a:bodyPr/>
                  <a:lstStyle/>
                  <a:p>
                    <a:fld id="{481C47F8-B12E-4B0C-A5C0-E6C5C0F38E8A}" type="CELLRANGE">
                      <a:rPr lang="it-IT"/>
                      <a:pPr/>
                      <a:t>[INTERVALLOCELLE]</a:t>
                    </a:fld>
                    <a:endParaRPr lang="it-IT"/>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D-82BA-4175-ACFD-648F5B387A1D}"/>
                </c:ext>
              </c:extLst>
            </c:dLbl>
            <c:dLbl>
              <c:idx val="4"/>
              <c:tx>
                <c:rich>
                  <a:bodyPr/>
                  <a:lstStyle/>
                  <a:p>
                    <a:fld id="{7A24D5AC-92F6-4B65-8D14-8849C502595C}" type="CELLRANGE">
                      <a:rPr lang="it-IT"/>
                      <a:pPr/>
                      <a:t>[INTERVALLOCELLE]</a:t>
                    </a:fld>
                    <a:endParaRPr lang="it-IT"/>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0E-82BA-4175-ACFD-648F5B387A1D}"/>
                </c:ext>
              </c:extLst>
            </c:dLbl>
            <c:dLbl>
              <c:idx val="5"/>
              <c:layout>
                <c:manualLayout>
                  <c:x val="-2.6972906341978818E-2"/>
                  <c:y val="-4.2328023090436602E-2"/>
                </c:manualLayout>
              </c:layout>
              <c:tx>
                <c:rich>
                  <a:bodyPr/>
                  <a:lstStyle/>
                  <a:p>
                    <a:fld id="{45F6017A-792D-4D4B-BB61-24BD96FF4555}" type="CELLRANGE">
                      <a:rPr lang="en-US"/>
                      <a:pPr/>
                      <a:t>[INTERVALLOCELLE]</a:t>
                    </a:fld>
                    <a:endParaRPr lang="it-IT"/>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0F-82BA-4175-ACFD-648F5B387A1D}"/>
                </c:ext>
              </c:extLst>
            </c:dLbl>
            <c:dLbl>
              <c:idx val="6"/>
              <c:layout>
                <c:manualLayout>
                  <c:x val="-1.4193353626323867E-2"/>
                  <c:y val="-3.4632018892175417E-2"/>
                </c:manualLayout>
              </c:layout>
              <c:tx>
                <c:rich>
                  <a:bodyPr/>
                  <a:lstStyle/>
                  <a:p>
                    <a:fld id="{64D94E69-A3EF-4528-A10A-9278925EA74C}" type="CELLRANGE">
                      <a:rPr lang="en-US"/>
                      <a:pPr/>
                      <a:t>[INTERVALLOCELLE]</a:t>
                    </a:fld>
                    <a:endParaRPr lang="it-IT"/>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10-82BA-4175-ACFD-648F5B387A1D}"/>
                </c:ext>
              </c:extLst>
            </c:dLbl>
            <c:dLbl>
              <c:idx val="7"/>
              <c:layout>
                <c:manualLayout>
                  <c:x val="-1.7039403620873347E-2"/>
                  <c:y val="-3.8480020991305937E-2"/>
                </c:manualLayout>
              </c:layout>
              <c:tx>
                <c:rich>
                  <a:bodyPr/>
                  <a:lstStyle/>
                  <a:p>
                    <a:fld id="{2B7FCB8A-5D6E-444D-B505-5CD7C9CBA41B}" type="CELLRANGE">
                      <a:rPr lang="en-US"/>
                      <a:pPr/>
                      <a:t>[INTERVALLOCELLE]</a:t>
                    </a:fld>
                    <a:endParaRPr lang="it-IT"/>
                  </a:p>
                </c:rich>
              </c:tx>
              <c:showLegendKey val="0"/>
              <c:showVal val="0"/>
              <c:showCatName val="0"/>
              <c:showSerName val="0"/>
              <c:showPercent val="0"/>
              <c:showBubbleSize val="0"/>
              <c:extLst>
                <c:ext xmlns:c15="http://schemas.microsoft.com/office/drawing/2012/chart" uri="{CE6537A1-D6FC-4f65-9D91-7224C49458BB}">
                  <c15:dlblFieldTable/>
                  <c15:showDataLabelsRange val="1"/>
                </c:ext>
                <c:ext xmlns:c16="http://schemas.microsoft.com/office/drawing/2014/chart" uri="{C3380CC4-5D6E-409C-BE32-E72D297353CC}">
                  <c16:uniqueId val="{00000011-82BA-4175-ACFD-648F5B387A1D}"/>
                </c:ext>
              </c:extLst>
            </c:dLbl>
            <c:dLbl>
              <c:idx val="8"/>
              <c:tx>
                <c:rich>
                  <a:bodyPr/>
                  <a:lstStyle/>
                  <a:p>
                    <a:fld id="{808784D2-09D3-4D2B-9B63-852A684D77E2}" type="CELLRANGE">
                      <a:rPr lang="it-IT"/>
                      <a:pPr/>
                      <a:t>[INTERVALLOCELLE]</a:t>
                    </a:fld>
                    <a:endParaRPr lang="it-IT"/>
                  </a:p>
                </c:rich>
              </c:tx>
              <c:showLegendKey val="0"/>
              <c:showVal val="0"/>
              <c:showCatName val="0"/>
              <c:showSerName val="0"/>
              <c:showPercent val="0"/>
              <c:showBubbleSize val="0"/>
              <c:extLst>
                <c:ext xmlns:c15="http://schemas.microsoft.com/office/drawing/2012/chart" uri="{CE6537A1-D6FC-4f65-9D91-7224C49458BB}">
                  <c15:dlblFieldTable/>
                  <c15:xForSave val="1"/>
                  <c15:showDataLabelsRange val="1"/>
                </c:ext>
                <c:ext xmlns:c16="http://schemas.microsoft.com/office/drawing/2014/chart" uri="{C3380CC4-5D6E-409C-BE32-E72D297353CC}">
                  <c16:uniqueId val="{00000012-82BA-4175-ACFD-648F5B387A1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it-IT"/>
              </a:p>
            </c:txPr>
            <c:showLegendKey val="0"/>
            <c:showVal val="0"/>
            <c:showCatName val="0"/>
            <c:showSerName val="0"/>
            <c:showPercent val="0"/>
            <c:showBubbleSize val="0"/>
            <c:showLeaderLines val="0"/>
            <c:extLst>
              <c:ext xmlns:c15="http://schemas.microsoft.com/office/drawing/2012/chart" uri="{CE6537A1-D6FC-4f65-9D91-7224C49458BB}">
                <c15:showDataLabelsRange val="1"/>
                <c15:showLeaderLines val="1"/>
                <c15:leaderLines>
                  <c:spPr>
                    <a:ln w="9525" cap="flat" cmpd="sng" algn="ctr">
                      <a:solidFill>
                        <a:schemeClr val="tx1">
                          <a:lumMod val="35000"/>
                          <a:lumOff val="65000"/>
                        </a:schemeClr>
                      </a:solidFill>
                      <a:round/>
                    </a:ln>
                    <a:effectLst/>
                  </c:spPr>
                </c15:leaderLines>
              </c:ext>
            </c:extLst>
          </c:dLbls>
          <c:xVal>
            <c:numRef>
              <c:f>'[SINAPPSI_descriptive_new.xlsx]graph with arrows'!$O$34:$O$42</c:f>
              <c:numCache>
                <c:formatCode>0.00%</c:formatCode>
                <c:ptCount val="9"/>
                <c:pt idx="0">
                  <c:v>0.14370000000000002</c:v>
                </c:pt>
                <c:pt idx="1">
                  <c:v>0.13500000000000001</c:v>
                </c:pt>
                <c:pt idx="2">
                  <c:v>6.1099999999999995E-2</c:v>
                </c:pt>
                <c:pt idx="3">
                  <c:v>0.23949999999999999</c:v>
                </c:pt>
                <c:pt idx="4">
                  <c:v>0.20030000000000001</c:v>
                </c:pt>
                <c:pt idx="5">
                  <c:v>0.13800000000000001</c:v>
                </c:pt>
                <c:pt idx="6">
                  <c:v>0.14679999999999999</c:v>
                </c:pt>
                <c:pt idx="7">
                  <c:v>0.17730000000000001</c:v>
                </c:pt>
                <c:pt idx="8">
                  <c:v>0.35770000000000002</c:v>
                </c:pt>
              </c:numCache>
            </c:numRef>
          </c:xVal>
          <c:yVal>
            <c:numRef>
              <c:f>'[SINAPPSI_descriptive_new.xlsx]graph with arrows'!$P$34:$P$42</c:f>
              <c:numCache>
                <c:formatCode>General</c:formatCode>
                <c:ptCount val="9"/>
                <c:pt idx="0">
                  <c:v>57</c:v>
                </c:pt>
                <c:pt idx="1">
                  <c:v>108</c:v>
                </c:pt>
                <c:pt idx="2">
                  <c:v>47</c:v>
                </c:pt>
                <c:pt idx="3">
                  <c:v>52</c:v>
                </c:pt>
                <c:pt idx="4">
                  <c:v>63</c:v>
                </c:pt>
                <c:pt idx="5">
                  <c:v>29</c:v>
                </c:pt>
                <c:pt idx="6">
                  <c:v>27</c:v>
                </c:pt>
                <c:pt idx="7">
                  <c:v>77</c:v>
                </c:pt>
                <c:pt idx="8">
                  <c:v>60</c:v>
                </c:pt>
              </c:numCache>
            </c:numRef>
          </c:yVal>
          <c:smooth val="0"/>
          <c:extLst>
            <c:ext xmlns:c15="http://schemas.microsoft.com/office/drawing/2012/chart" uri="{02D57815-91ED-43cb-92C2-25804820EDAC}">
              <c15:datalabelsRange>
                <c15:f>'[SINAPPSI_descriptive_new.xlsx]graph with arrows'!$J$34:$J$42</c15:f>
                <c15:dlblRangeCache>
                  <c:ptCount val="9"/>
                  <c:pt idx="0">
                    <c:v>AT</c:v>
                  </c:pt>
                  <c:pt idx="1">
                    <c:v>BE</c:v>
                  </c:pt>
                  <c:pt idx="2">
                    <c:v>DK</c:v>
                  </c:pt>
                  <c:pt idx="3">
                    <c:v>FI</c:v>
                  </c:pt>
                  <c:pt idx="4">
                    <c:v>FR</c:v>
                  </c:pt>
                  <c:pt idx="5">
                    <c:v>LU</c:v>
                  </c:pt>
                  <c:pt idx="6">
                    <c:v>SI</c:v>
                  </c:pt>
                  <c:pt idx="7">
                    <c:v>UK</c:v>
                  </c:pt>
                  <c:pt idx="8">
                    <c:v>BG</c:v>
                  </c:pt>
                </c15:dlblRangeCache>
              </c15:datalabelsRange>
            </c:ext>
            <c:ext xmlns:c16="http://schemas.microsoft.com/office/drawing/2014/chart" uri="{C3380CC4-5D6E-409C-BE32-E72D297353CC}">
              <c16:uniqueId val="{00000013-82BA-4175-ACFD-648F5B387A1D}"/>
            </c:ext>
          </c:extLst>
        </c:ser>
        <c:dLbls>
          <c:showLegendKey val="0"/>
          <c:showVal val="0"/>
          <c:showCatName val="0"/>
          <c:showSerName val="0"/>
          <c:showPercent val="0"/>
          <c:showBubbleSize val="0"/>
        </c:dLbls>
        <c:axId val="151189376"/>
        <c:axId val="150827008"/>
      </c:scatterChart>
      <c:valAx>
        <c:axId val="151189376"/>
        <c:scaling>
          <c:orientation val="minMax"/>
          <c:max val="0.4"/>
        </c:scaling>
        <c:delete val="0"/>
        <c:axPos val="b"/>
        <c:majorGridlines>
          <c:spPr>
            <a:ln w="9525" cap="flat" cmpd="sng" algn="ctr">
              <a:solidFill>
                <a:schemeClr val="tx1">
                  <a:lumMod val="15000"/>
                  <a:lumOff val="85000"/>
                </a:schemeClr>
              </a:solidFill>
              <a:round/>
            </a:ln>
            <a:effectLst/>
          </c:spPr>
        </c:majorGridlines>
        <c:title>
          <c:tx>
            <c:rich>
              <a:bodyPr/>
              <a:lstStyle/>
              <a:p>
                <a:pPr>
                  <a:defRPr/>
                </a:pPr>
                <a:r>
                  <a:rPr lang="en-GB" sz="1100" b="0"/>
                  <a:t>% Insecure</a:t>
                </a:r>
                <a:r>
                  <a:rPr lang="en-GB" sz="1100" b="0" baseline="0"/>
                  <a:t> Trajectories</a:t>
                </a:r>
                <a:endParaRPr lang="en-GB" sz="1100" b="0"/>
              </a:p>
            </c:rich>
          </c:tx>
          <c:overlay val="0"/>
        </c:title>
        <c:numFmt formatCode="0%"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50827008"/>
        <c:crosses val="autoZero"/>
        <c:crossBetween val="midCat"/>
      </c:valAx>
      <c:valAx>
        <c:axId val="150827008"/>
        <c:scaling>
          <c:orientation val="minMax"/>
        </c:scaling>
        <c:delete val="0"/>
        <c:axPos val="l"/>
        <c:majorGridlines>
          <c:spPr>
            <a:ln w="9525" cap="flat" cmpd="sng" algn="ctr">
              <a:solidFill>
                <a:schemeClr val="tx1">
                  <a:lumMod val="15000"/>
                  <a:lumOff val="85000"/>
                </a:schemeClr>
              </a:solidFill>
              <a:round/>
            </a:ln>
            <a:effectLst/>
          </c:spPr>
        </c:majorGridlines>
        <c:title>
          <c:tx>
            <c:rich>
              <a:bodyPr/>
              <a:lstStyle/>
              <a:p>
                <a:pPr>
                  <a:defRPr/>
                </a:pPr>
                <a:r>
                  <a:rPr lang="en-GB" sz="1100" b="0"/>
                  <a:t>Policy</a:t>
                </a:r>
                <a:r>
                  <a:rPr lang="en-GB" sz="1100" b="0" baseline="0"/>
                  <a:t> intensity</a:t>
                </a:r>
                <a:endParaRPr lang="en-GB" sz="1100" b="0"/>
              </a:p>
            </c:rich>
          </c:tx>
          <c:overlay val="0"/>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151189376"/>
        <c:crosses val="autoZero"/>
        <c:crossBetween val="midCat"/>
      </c:valAx>
    </c:plotArea>
    <c:legend>
      <c:legendPos val="t"/>
      <c:layout>
        <c:manualLayout>
          <c:xMode val="edge"/>
          <c:yMode val="edge"/>
          <c:x val="0.10785432040775123"/>
          <c:y val="7.0381231671554259E-2"/>
          <c:w val="0.16535284737759431"/>
          <c:h val="0.11845813994658293"/>
        </c:manualLayout>
      </c:layout>
      <c:overlay val="0"/>
      <c:txPr>
        <a:bodyPr/>
        <a:lstStyle/>
        <a:p>
          <a:pPr>
            <a:defRPr sz="1100"/>
          </a:pPr>
          <a:endParaRPr lang="it-IT"/>
        </a:p>
      </c:txPr>
    </c:legend>
    <c:plotVisOnly val="1"/>
    <c:dispBlanksAs val="gap"/>
    <c:showDLblsOverMax val="0"/>
    <c:extLst/>
  </c:chart>
  <c:txPr>
    <a:bodyPr/>
    <a:lstStyle/>
    <a:p>
      <a:pPr>
        <a:defRPr/>
      </a:pPr>
      <a:endParaRPr lang="it-IT"/>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0.21598</cdr:x>
      <cdr:y>0.15377</cdr:y>
    </cdr:from>
    <cdr:to>
      <cdr:x>0.83795</cdr:x>
      <cdr:y>0.74973</cdr:y>
    </cdr:to>
    <cdr:grpSp>
      <cdr:nvGrpSpPr>
        <cdr:cNvPr id="17" name="Group 16">
          <a:extLst xmlns:a="http://schemas.openxmlformats.org/drawingml/2006/main">
            <a:ext uri="{FF2B5EF4-FFF2-40B4-BE49-F238E27FC236}">
              <a16:creationId xmlns:a16="http://schemas.microsoft.com/office/drawing/2014/main" id="{0F65A6AB-53E9-4357-8977-509C26F33F5A}"/>
            </a:ext>
          </a:extLst>
        </cdr:cNvPr>
        <cdr:cNvGrpSpPr/>
      </cdr:nvGrpSpPr>
      <cdr:grpSpPr>
        <a:xfrm xmlns:a="http://schemas.openxmlformats.org/drawingml/2006/main">
          <a:off x="1237902" y="471823"/>
          <a:ext cx="3564827" cy="1828596"/>
          <a:chOff x="1290369" y="457206"/>
          <a:chExt cx="3708646" cy="1966924"/>
        </a:xfrm>
      </cdr:grpSpPr>
      <cdr:cxnSp macro="">
        <cdr:nvCxnSpPr>
          <cdr:cNvPr id="18" name="Straight Arrow Connector 17">
            <a:extLst xmlns:a="http://schemas.openxmlformats.org/drawingml/2006/main">
              <a:ext uri="{FF2B5EF4-FFF2-40B4-BE49-F238E27FC236}">
                <a16:creationId xmlns:a16="http://schemas.microsoft.com/office/drawing/2014/main" id="{46AB6AAF-3FEB-48F6-A033-0F671151B5BC}"/>
              </a:ext>
            </a:extLst>
          </cdr:cNvPr>
          <cdr:cNvCxnSpPr/>
        </cdr:nvCxnSpPr>
        <cdr:spPr>
          <a:xfrm xmlns:a="http://schemas.openxmlformats.org/drawingml/2006/main" flipH="1" flipV="1">
            <a:off x="3438525" y="1219200"/>
            <a:ext cx="9525" cy="447675"/>
          </a:xfrm>
          <a:prstGeom xmlns:a="http://schemas.openxmlformats.org/drawingml/2006/main" prst="straightConnector1">
            <a:avLst/>
          </a:prstGeom>
          <a:ln xmlns:a="http://schemas.openxmlformats.org/drawingml/2006/main">
            <a:solidFill>
              <a:sysClr val="windowText" lastClr="00000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cxnSp macro="">
        <cdr:nvCxnSpPr>
          <cdr:cNvPr id="23" name="Straight Arrow Connector 17">
            <a:extLst xmlns:a="http://schemas.openxmlformats.org/drawingml/2006/main">
              <a:ext uri="{FF2B5EF4-FFF2-40B4-BE49-F238E27FC236}">
                <a16:creationId xmlns:a16="http://schemas.microsoft.com/office/drawing/2014/main" id="{46AB6AAF-3FEB-48F6-A033-0F671151B5BC}"/>
              </a:ext>
            </a:extLst>
          </cdr:cNvPr>
          <cdr:cNvCxnSpPr/>
        </cdr:nvCxnSpPr>
        <cdr:spPr>
          <a:xfrm xmlns:a="http://schemas.openxmlformats.org/drawingml/2006/main" flipV="1">
            <a:off x="2247461" y="2000250"/>
            <a:ext cx="439" cy="230205"/>
          </a:xfrm>
          <a:prstGeom xmlns:a="http://schemas.openxmlformats.org/drawingml/2006/main" prst="straightConnector1">
            <a:avLst/>
          </a:prstGeom>
          <a:ln xmlns:a="http://schemas.openxmlformats.org/drawingml/2006/main">
            <a:solidFill>
              <a:sysClr val="windowText" lastClr="00000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cxnSp macro="">
        <cdr:nvCxnSpPr>
          <cdr:cNvPr id="26" name="Straight Arrow Connector 12">
            <a:extLst xmlns:a="http://schemas.openxmlformats.org/drawingml/2006/main">
              <a:ext uri="{FF2B5EF4-FFF2-40B4-BE49-F238E27FC236}">
                <a16:creationId xmlns:a16="http://schemas.microsoft.com/office/drawing/2014/main" id="{3838BB9D-1F46-42FF-AB90-D50407A20B3D}"/>
              </a:ext>
            </a:extLst>
          </cdr:cNvPr>
          <cdr:cNvCxnSpPr/>
        </cdr:nvCxnSpPr>
        <cdr:spPr>
          <a:xfrm xmlns:a="http://schemas.openxmlformats.org/drawingml/2006/main" flipH="1" flipV="1">
            <a:off x="4991100" y="1409700"/>
            <a:ext cx="7915" cy="455628"/>
          </a:xfrm>
          <a:prstGeom xmlns:a="http://schemas.openxmlformats.org/drawingml/2006/main" prst="straightConnector1">
            <a:avLst/>
          </a:prstGeom>
          <a:ln xmlns:a="http://schemas.openxmlformats.org/drawingml/2006/main">
            <a:solidFill>
              <a:sysClr val="windowText" lastClr="00000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cxnSp macro="">
        <cdr:nvCxnSpPr>
          <cdr:cNvPr id="31" name="Straight Arrow Connector 17">
            <a:extLst xmlns:a="http://schemas.openxmlformats.org/drawingml/2006/main">
              <a:ext uri="{FF2B5EF4-FFF2-40B4-BE49-F238E27FC236}">
                <a16:creationId xmlns:a16="http://schemas.microsoft.com/office/drawing/2014/main" id="{46AB6AAF-3FEB-48F6-A033-0F671151B5BC}"/>
              </a:ext>
            </a:extLst>
          </cdr:cNvPr>
          <cdr:cNvCxnSpPr/>
        </cdr:nvCxnSpPr>
        <cdr:spPr>
          <a:xfrm xmlns:a="http://schemas.openxmlformats.org/drawingml/2006/main" flipH="1" flipV="1">
            <a:off x="3577492" y="1603381"/>
            <a:ext cx="3458" cy="417535"/>
          </a:xfrm>
          <a:prstGeom xmlns:a="http://schemas.openxmlformats.org/drawingml/2006/main" prst="straightConnector1">
            <a:avLst/>
          </a:prstGeom>
          <a:ln xmlns:a="http://schemas.openxmlformats.org/drawingml/2006/main">
            <a:solidFill>
              <a:sysClr val="windowText" lastClr="00000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cxnSp macro="">
        <cdr:nvCxnSpPr>
          <cdr:cNvPr id="34" name="Straight Arrow Connector 12">
            <a:extLst xmlns:a="http://schemas.openxmlformats.org/drawingml/2006/main">
              <a:ext uri="{FF2B5EF4-FFF2-40B4-BE49-F238E27FC236}">
                <a16:creationId xmlns:a16="http://schemas.microsoft.com/office/drawing/2014/main" id="{3838BB9D-1F46-42FF-AB90-D50407A20B3D}"/>
              </a:ext>
            </a:extLst>
          </cdr:cNvPr>
          <cdr:cNvCxnSpPr/>
        </cdr:nvCxnSpPr>
        <cdr:spPr>
          <a:xfrm xmlns:a="http://schemas.openxmlformats.org/drawingml/2006/main" flipH="1" flipV="1">
            <a:off x="1290369" y="1771636"/>
            <a:ext cx="3399" cy="417535"/>
          </a:xfrm>
          <a:prstGeom xmlns:a="http://schemas.openxmlformats.org/drawingml/2006/main" prst="straightConnector1">
            <a:avLst/>
          </a:prstGeom>
          <a:ln xmlns:a="http://schemas.openxmlformats.org/drawingml/2006/main">
            <a:solidFill>
              <a:sysClr val="windowText" lastClr="00000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cxnSp macro="">
        <cdr:nvCxnSpPr>
          <cdr:cNvPr id="35" name="Straight Arrow Connector 15">
            <a:extLst xmlns:a="http://schemas.openxmlformats.org/drawingml/2006/main">
              <a:ext uri="{FF2B5EF4-FFF2-40B4-BE49-F238E27FC236}">
                <a16:creationId xmlns:a16="http://schemas.microsoft.com/office/drawing/2014/main" id="{F85E1228-F5B3-4F59-AC21-55790CA76978}"/>
              </a:ext>
            </a:extLst>
          </cdr:cNvPr>
          <cdr:cNvCxnSpPr/>
        </cdr:nvCxnSpPr>
        <cdr:spPr>
          <a:xfrm xmlns:a="http://schemas.openxmlformats.org/drawingml/2006/main" flipH="1" flipV="1">
            <a:off x="2246046" y="457206"/>
            <a:ext cx="17113" cy="1163627"/>
          </a:xfrm>
          <a:prstGeom xmlns:a="http://schemas.openxmlformats.org/drawingml/2006/main" prst="straightConnector1">
            <a:avLst/>
          </a:prstGeom>
          <a:ln xmlns:a="http://schemas.openxmlformats.org/drawingml/2006/main">
            <a:solidFill>
              <a:sysClr val="windowText" lastClr="00000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cxnSp macro="">
        <cdr:nvCxnSpPr>
          <cdr:cNvPr id="38" name="Straight Arrow Connector 18">
            <a:extLst xmlns:a="http://schemas.openxmlformats.org/drawingml/2006/main">
              <a:ext uri="{FF2B5EF4-FFF2-40B4-BE49-F238E27FC236}">
                <a16:creationId xmlns:a16="http://schemas.microsoft.com/office/drawing/2014/main" id="{23C4E32C-A239-4B4A-85ED-1538091EBE3D}"/>
              </a:ext>
            </a:extLst>
          </cdr:cNvPr>
          <cdr:cNvCxnSpPr/>
        </cdr:nvCxnSpPr>
        <cdr:spPr>
          <a:xfrm xmlns:a="http://schemas.openxmlformats.org/drawingml/2006/main" flipH="1" flipV="1">
            <a:off x="3002769" y="1038218"/>
            <a:ext cx="6857" cy="915997"/>
          </a:xfrm>
          <a:prstGeom xmlns:a="http://schemas.openxmlformats.org/drawingml/2006/main" prst="straightConnector1">
            <a:avLst/>
          </a:prstGeom>
          <a:ln xmlns:a="http://schemas.openxmlformats.org/drawingml/2006/main">
            <a:solidFill>
              <a:sysClr val="windowText" lastClr="00000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cxnSp macro="">
        <cdr:nvCxnSpPr>
          <cdr:cNvPr id="28" name="Straight Arrow Connector 27">
            <a:extLst xmlns:a="http://schemas.openxmlformats.org/drawingml/2006/main">
              <a:ext uri="{FF2B5EF4-FFF2-40B4-BE49-F238E27FC236}">
                <a16:creationId xmlns:a16="http://schemas.microsoft.com/office/drawing/2014/main" id="{C2DE70DC-8E62-452F-9CFA-37CD11CACCDB}"/>
              </a:ext>
            </a:extLst>
          </cdr:cNvPr>
          <cdr:cNvCxnSpPr/>
        </cdr:nvCxnSpPr>
        <cdr:spPr>
          <a:xfrm xmlns:a="http://schemas.openxmlformats.org/drawingml/2006/main" flipH="1" flipV="1">
            <a:off x="2743201" y="1409712"/>
            <a:ext cx="1252" cy="642921"/>
          </a:xfrm>
          <a:prstGeom xmlns:a="http://schemas.openxmlformats.org/drawingml/2006/main" prst="straightConnector1">
            <a:avLst/>
          </a:prstGeom>
          <a:ln xmlns:a="http://schemas.openxmlformats.org/drawingml/2006/main">
            <a:solidFill>
              <a:sysClr val="windowText" lastClr="00000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cxnSp macro="">
        <cdr:nvCxnSpPr>
          <cdr:cNvPr id="24" name="Straight Arrow Connector 23">
            <a:extLst xmlns:a="http://schemas.openxmlformats.org/drawingml/2006/main">
              <a:ext uri="{FF2B5EF4-FFF2-40B4-BE49-F238E27FC236}">
                <a16:creationId xmlns:a16="http://schemas.microsoft.com/office/drawing/2014/main" id="{FDBEC6AB-1F61-4FE8-B906-54A3F3A89BF2}"/>
              </a:ext>
            </a:extLst>
          </cdr:cNvPr>
          <cdr:cNvCxnSpPr/>
        </cdr:nvCxnSpPr>
        <cdr:spPr>
          <a:xfrm xmlns:a="http://schemas.openxmlformats.org/drawingml/2006/main" flipV="1">
            <a:off x="2527300" y="2193925"/>
            <a:ext cx="439" cy="230205"/>
          </a:xfrm>
          <a:prstGeom xmlns:a="http://schemas.openxmlformats.org/drawingml/2006/main" prst="straightConnector1">
            <a:avLst/>
          </a:prstGeom>
          <a:ln xmlns:a="http://schemas.openxmlformats.org/drawingml/2006/main">
            <a:solidFill>
              <a:sysClr val="windowText" lastClr="00000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grpSp>
  </cdr:relSizeAnchor>
</c:userShape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C99A1E-FBEC-4BDF-9696-1617CCD84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3263</Words>
  <Characters>18602</Characters>
  <Application>Microsoft Office Word</Application>
  <DocSecurity>0</DocSecurity>
  <Lines>155</Lines>
  <Paragraphs>43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Università di Trento</Company>
  <LinksUpToDate>false</LinksUpToDate>
  <CharactersWithSpaces>21822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Berloffa, Gabriella</dc:creator>
  <cp:lastModifiedBy>Cavicchioni Giorgia</cp:lastModifiedBy>
  <cp:revision>2</cp:revision>
  <cp:lastPrinted>2021-03-04T09:34:00Z</cp:lastPrinted>
  <dcterms:created xsi:type="dcterms:W3CDTF">2021-12-29T10:43:00Z</dcterms:created>
  <dcterms:modified xsi:type="dcterms:W3CDTF">2021-12-29T10:43:00Z</dcterms:modified>
</cp:coreProperties>
</file>