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1936" w14:textId="5E089C3B" w:rsidR="005D1F1F" w:rsidRDefault="005D1F1F" w:rsidP="004748A1">
      <w:pPr>
        <w:spacing w:before="120"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b/>
          <w:bCs/>
          <w:noProof/>
          <w:kern w:val="0"/>
          <w:sz w:val="28"/>
          <w:szCs w:val="28"/>
          <w:lang w:eastAsia="it-IT"/>
        </w:rPr>
        <w:drawing>
          <wp:inline distT="0" distB="0" distL="0" distR="0" wp14:anchorId="0B5E5FF9" wp14:editId="7A21D017">
            <wp:extent cx="1335943" cy="906780"/>
            <wp:effectExtent l="0" t="0" r="0" b="7620"/>
            <wp:docPr id="1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696" cy="91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041E5" w14:textId="77777777" w:rsidR="005D1F1F" w:rsidRDefault="005D1F1F" w:rsidP="004748A1">
      <w:pPr>
        <w:spacing w:before="120"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</w:p>
    <w:p w14:paraId="1C6DB9DA" w14:textId="27302F38" w:rsidR="004748A1" w:rsidRPr="004748A1" w:rsidRDefault="004748A1" w:rsidP="004748A1">
      <w:pPr>
        <w:spacing w:before="120"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4748A1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XX Rapporto di Monitoraggio </w:t>
      </w:r>
      <w:proofErr w:type="spellStart"/>
      <w:r w:rsidRPr="004748A1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IeFP</w:t>
      </w:r>
      <w:proofErr w:type="spellEnd"/>
      <w:r w:rsidRPr="004748A1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 e Duale</w:t>
      </w:r>
    </w:p>
    <w:p w14:paraId="095DA668" w14:textId="77777777" w:rsidR="005D1F1F" w:rsidRPr="005D1F1F" w:rsidRDefault="005D1F1F" w:rsidP="005D1F1F">
      <w:pPr>
        <w:spacing w:after="0" w:line="240" w:lineRule="auto"/>
        <w:jc w:val="center"/>
        <w:rPr>
          <w:rFonts w:eastAsia="Times New Roman" w:cstheme="minorHAnsi"/>
          <w:b/>
          <w:bCs/>
          <w:caps/>
          <w:spacing w:val="-16"/>
          <w:kern w:val="0"/>
          <w:lang w:eastAsia="it-IT"/>
          <w14:ligatures w14:val="none"/>
        </w:rPr>
      </w:pPr>
    </w:p>
    <w:p w14:paraId="387F97A5" w14:textId="4E1EA99C" w:rsidR="004748A1" w:rsidRPr="004748A1" w:rsidRDefault="004748A1" w:rsidP="004748A1">
      <w:pPr>
        <w:spacing w:before="120" w:after="0" w:line="240" w:lineRule="auto"/>
        <w:jc w:val="center"/>
        <w:rPr>
          <w:rFonts w:eastAsia="Times New Roman" w:cstheme="minorHAnsi"/>
          <w:b/>
          <w:bCs/>
          <w:caps/>
          <w:spacing w:val="-6"/>
          <w:kern w:val="0"/>
          <w:sz w:val="32"/>
          <w:szCs w:val="32"/>
          <w:lang w:eastAsia="it-IT"/>
          <w14:ligatures w14:val="none"/>
        </w:rPr>
      </w:pPr>
      <w:r w:rsidRPr="004748A1">
        <w:rPr>
          <w:rFonts w:eastAsia="Times New Roman" w:cstheme="minorHAnsi"/>
          <w:b/>
          <w:bCs/>
          <w:caps/>
          <w:spacing w:val="-6"/>
          <w:kern w:val="0"/>
          <w:sz w:val="32"/>
          <w:szCs w:val="32"/>
          <w:lang w:eastAsia="it-IT"/>
          <w14:ligatures w14:val="none"/>
        </w:rPr>
        <w:t xml:space="preserve">FORMAZIONE, INAPP: </w:t>
      </w:r>
      <w:r w:rsidR="004A0E6E" w:rsidRPr="004A0E6E">
        <w:rPr>
          <w:rFonts w:eastAsia="Times New Roman" w:cstheme="minorHAnsi"/>
          <w:b/>
          <w:bCs/>
          <w:caps/>
          <w:spacing w:val="-6"/>
          <w:kern w:val="0"/>
          <w:sz w:val="32"/>
          <w:szCs w:val="32"/>
          <w:lang w:eastAsia="it-IT"/>
          <w14:ligatures w14:val="none"/>
        </w:rPr>
        <w:t>“dal sapere</w:t>
      </w:r>
      <w:r w:rsidRPr="004748A1">
        <w:rPr>
          <w:rFonts w:eastAsia="Times New Roman" w:cstheme="minorHAnsi"/>
          <w:b/>
          <w:bCs/>
          <w:caps/>
          <w:spacing w:val="-6"/>
          <w:kern w:val="0"/>
          <w:sz w:val="32"/>
          <w:szCs w:val="32"/>
          <w:lang w:eastAsia="it-IT"/>
          <w14:ligatures w14:val="none"/>
        </w:rPr>
        <w:t xml:space="preserve"> al saper fare. VOLAno Le iscrizioni alla NUOVA SUSSIDIARIETA’ (+79%), cresce ancora iL DUALE (+11,4%)</w:t>
      </w:r>
      <w:r w:rsidR="004A0E6E" w:rsidRPr="004A0E6E">
        <w:rPr>
          <w:rFonts w:eastAsia="Times New Roman" w:cstheme="minorHAnsi"/>
          <w:b/>
          <w:bCs/>
          <w:caps/>
          <w:spacing w:val="-6"/>
          <w:kern w:val="0"/>
          <w:sz w:val="32"/>
          <w:szCs w:val="32"/>
          <w:lang w:eastAsia="it-IT"/>
          <w14:ligatures w14:val="none"/>
        </w:rPr>
        <w:t>”</w:t>
      </w:r>
    </w:p>
    <w:p w14:paraId="02258FAD" w14:textId="77777777" w:rsidR="005D1F1F" w:rsidRPr="005D1F1F" w:rsidRDefault="005D1F1F" w:rsidP="005D1F1F">
      <w:pPr>
        <w:spacing w:after="0" w:line="240" w:lineRule="auto"/>
        <w:jc w:val="center"/>
        <w:rPr>
          <w:rFonts w:eastAsia="Times New Roman" w:cstheme="minorHAnsi"/>
          <w:b/>
          <w:bCs/>
          <w:caps/>
          <w:spacing w:val="-16"/>
          <w:kern w:val="0"/>
          <w:lang w:eastAsia="it-IT"/>
          <w14:ligatures w14:val="none"/>
        </w:rPr>
      </w:pPr>
    </w:p>
    <w:p w14:paraId="11E9584E" w14:textId="68C5AA5D" w:rsidR="004748A1" w:rsidRPr="004748A1" w:rsidRDefault="000033F5" w:rsidP="004748A1">
      <w:pPr>
        <w:spacing w:before="120" w:after="0" w:line="240" w:lineRule="auto"/>
        <w:jc w:val="center"/>
        <w:rPr>
          <w:rFonts w:eastAsia="Times New Roman" w:cstheme="minorHAnsi"/>
          <w:b/>
          <w:bCs/>
          <w:caps/>
          <w:spacing w:val="-16"/>
          <w:kern w:val="0"/>
          <w:sz w:val="32"/>
          <w:szCs w:val="32"/>
          <w:lang w:eastAsia="it-IT"/>
          <w14:ligatures w14:val="none"/>
        </w:rPr>
      </w:pPr>
      <w:r w:rsidRPr="000033F5">
        <w:rPr>
          <w:rFonts w:eastAsia="Times New Roman" w:cstheme="minorHAnsi"/>
          <w:b/>
          <w:bCs/>
          <w:caps/>
          <w:spacing w:val="-16"/>
          <w:kern w:val="0"/>
          <w:sz w:val="32"/>
          <w:szCs w:val="32"/>
          <w:lang w:eastAsia="it-IT"/>
          <w14:ligatures w14:val="none"/>
        </w:rPr>
        <w:t>persiste un disallineamento tra qualificati e domanda delle imprese</w:t>
      </w:r>
    </w:p>
    <w:p w14:paraId="3FED6720" w14:textId="1B183ECC" w:rsidR="004748A1" w:rsidRPr="004748A1" w:rsidRDefault="004748A1" w:rsidP="004748A1">
      <w:pPr>
        <w:spacing w:before="120" w:after="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</w:pPr>
      <w:r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Fadda: “L</w:t>
      </w:r>
      <w:r w:rsidR="00AC78A1"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’</w:t>
      </w:r>
      <w:r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 xml:space="preserve">offerta </w:t>
      </w:r>
      <w:r w:rsidR="00BF2924"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 xml:space="preserve">di </w:t>
      </w:r>
      <w:proofErr w:type="spellStart"/>
      <w:r w:rsidR="00BF2924"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IeFP</w:t>
      </w:r>
      <w:proofErr w:type="spellEnd"/>
      <w:r w:rsidR="00BF2924"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B80C71"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d</w:t>
      </w:r>
      <w:r w:rsidR="00C87736"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e</w:t>
      </w:r>
      <w:r w:rsidR="00B80C71"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gli Istituti Professionali</w:t>
      </w:r>
      <w:r w:rsidRPr="00EA3774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 xml:space="preserve"> sta andando </w:t>
      </w:r>
      <w:r w:rsidRPr="004748A1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 xml:space="preserve">progressivamente a confluire nel nuovo modello e le Regioni stanno adeguando l’offerta al rinnovamento dell’istituto della sussidiarietà prospettato dal decreto attuativo della riforma degli Istituti Professionali. </w:t>
      </w:r>
      <w:proofErr w:type="gramStart"/>
      <w:r w:rsidRPr="004748A1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E’</w:t>
      </w:r>
      <w:proofErr w:type="gramEnd"/>
      <w:r w:rsidR="00730A2F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Pr="004748A1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 xml:space="preserve">un segnale importante verso il tentativo di superamento del gap tra domanda e offerta di competenze collegato alla </w:t>
      </w:r>
      <w:proofErr w:type="spellStart"/>
      <w:r w:rsidRPr="004748A1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IeFP</w:t>
      </w:r>
      <w:proofErr w:type="spellEnd"/>
      <w:r w:rsidRPr="004748A1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it-IT"/>
          <w14:ligatures w14:val="none"/>
        </w:rPr>
        <w:t>”.</w:t>
      </w:r>
    </w:p>
    <w:p w14:paraId="119A18B6" w14:textId="77777777" w:rsidR="004748A1" w:rsidRPr="004748A1" w:rsidRDefault="004748A1" w:rsidP="004748A1">
      <w:p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5FB2A8AD" w14:textId="3CC18453" w:rsidR="004748A1" w:rsidRPr="005D1F1F" w:rsidRDefault="004748A1" w:rsidP="005D1F1F">
      <w:pPr>
        <w:spacing w:before="120" w:after="0" w:line="276" w:lineRule="auto"/>
        <w:jc w:val="both"/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</w:pPr>
      <w:r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Roma, 30 maggio 2023 – Cresce </w:t>
      </w:r>
      <w:r w:rsidR="008650EB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la voglia di </w:t>
      </w:r>
      <w:r w:rsidR="008650EB" w:rsidRPr="005D1F1F">
        <w:rPr>
          <w:rFonts w:eastAsia="Times New Roman" w:cstheme="minorHAnsi"/>
          <w:i/>
          <w:iCs/>
          <w:spacing w:val="-2"/>
          <w:kern w:val="0"/>
          <w:sz w:val="24"/>
          <w:szCs w:val="24"/>
          <w:lang w:eastAsia="it-IT"/>
          <w14:ligatures w14:val="none"/>
        </w:rPr>
        <w:t>imparare a fare</w:t>
      </w:r>
      <w:r w:rsidR="00380FB3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="00FC5CC2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ne</w:t>
      </w:r>
      <w:r w:rsidR="00380FB3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i giovani che scelgono i percorse di </w:t>
      </w:r>
      <w:proofErr w:type="spellStart"/>
      <w:r w:rsidR="00380FB3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Ie</w:t>
      </w:r>
      <w:r w:rsidR="00FC5CC2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FP</w:t>
      </w:r>
      <w:proofErr w:type="spellEnd"/>
      <w:r w:rsidR="00380FB3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. A</w:t>
      </w:r>
      <w:r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nche nell’anno formativo 2020-2021 </w:t>
      </w:r>
      <w:r w:rsidR="00380FB3"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aumenta </w:t>
      </w:r>
      <w:r w:rsidRPr="005D1F1F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il numero di iscrizioni alla nuova sussidiarietà: +79% rispetto all’anno precedente. Gli iscritti sono in tutto 33.663, poco meno dei 35.286 dell’integrativa e assorbono quasi 15 mila dei 36 mila iscritti persi nell’ultimo anno dai due modelli sussidiari in via di estinzione. Aumentano anche gli iscritti al duale (+11,4%), seppur ad un ritmo meno sostenuto dell’anno precedente. In cinque anni formativi sono di fatto raddoppiati. </w:t>
      </w:r>
    </w:p>
    <w:p w14:paraId="63FDD547" w14:textId="77777777" w:rsidR="004748A1" w:rsidRPr="005D1F1F" w:rsidRDefault="004748A1" w:rsidP="005D1F1F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La partecipazione al sistema della </w:t>
      </w:r>
      <w:proofErr w:type="spellStart"/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IeFP</w:t>
      </w:r>
      <w:proofErr w:type="spellEnd"/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(Istruzione e formazione professionale) registra invece una diminuzione del 10,9%, da addebitare perlopiù agli istituti professionali (-23%) e per la prima volta anche ai centri accreditati (-2,8%). Se si osserva il solo triennio, si registra una flessione delle iscrizioni del -10,8% (205.789 iscritti a fronte dei 230.811 dell’anno precedente).</w:t>
      </w:r>
    </w:p>
    <w:p w14:paraId="1BEBFC3B" w14:textId="647B67EF" w:rsidR="004748A1" w:rsidRPr="005D1F1F" w:rsidRDefault="004748A1" w:rsidP="005D1F1F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È quanto emerge dal </w:t>
      </w:r>
      <w:hyperlink r:id="rId5" w:history="1">
        <w:r w:rsidRPr="005442D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XX Rapporto di monitoraggio del sistema di istruzione e formazione professionale e dei percorsi in duale nella </w:t>
        </w:r>
        <w:proofErr w:type="spellStart"/>
        <w:r w:rsidRPr="005442D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IeFP</w:t>
        </w:r>
        <w:proofErr w:type="spellEnd"/>
      </w:hyperlink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Il report che ogni anno l’Inapp (Istituto nazionale per l’analisi delle politiche pubbliche) realizza per conto del Ministero del Lavoro e delle politiche sociali. </w:t>
      </w:r>
    </w:p>
    <w:p w14:paraId="0A8299C2" w14:textId="42B12D32" w:rsidR="002F6E12" w:rsidRPr="005D1F1F" w:rsidRDefault="004748A1" w:rsidP="005D1F1F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“Da quanto osservato - ha affermato Sebastiano Fadda, Presidente dell’Inapp - si può concludere che l’offerta scolastica tradizionale </w:t>
      </w:r>
      <w:r w:rsidR="00850495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di </w:t>
      </w:r>
      <w:proofErr w:type="spellStart"/>
      <w:r w:rsidR="00850495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IeFP</w:t>
      </w:r>
      <w:proofErr w:type="spellEnd"/>
      <w:r w:rsidR="00850495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stia andando progressivamente a confluire nel nuovo modello e che le Regioni stiano adeguando l’offerta al rinnovamento dell’istituto della sussidiarietà prospettato dal decreto attuativo della riforma degli Istituti Professionali. Questo fatto, insieme al rafforzamento del sistema duale, è molto importante </w:t>
      </w:r>
      <w:r w:rsidR="002F6E12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 ridurre il</w:t>
      </w: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gap che ancora persiste tra domanda e offerta di competenze collegato alle qualifiche e diplomi IeFP</w:t>
      </w:r>
      <w:r w:rsidR="00FC5CC2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="002F6E12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Tuttavia, questo non basta; per raggiungere risultati soddisfacenti sono necessari un forte ancoraggio dell’offerta </w:t>
      </w:r>
      <w:r w:rsidR="002F6E12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 xml:space="preserve">formativa </w:t>
      </w:r>
      <w:r w:rsidR="009D1F2A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 un attendibile quadro previsionale dei fabbisogni professionali e un rinnovato ed efficace sistema di orientamento”.</w:t>
      </w:r>
    </w:p>
    <w:p w14:paraId="6A8B6B30" w14:textId="3D9D5D9C" w:rsidR="004A0E6E" w:rsidRPr="005D1F1F" w:rsidRDefault="004A0E6E" w:rsidP="005D1F1F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Si rileva, infatti, un considerevole mismatch tra fabbisogni espressi dalle imprese e media annua dei qualificati e diplomati (periodo 2022-2026). Nello specifico, l’offerta complessiva di circa 79mila giovani qualificati e diplomati soddisfa solo il 67,6% della domanda potenziale di circa 117mila posti di lavoro. Mancano all’appello 38mila professionisti che si concentrano particolarmente nei seguenti settori: </w:t>
      </w:r>
      <w:r w:rsidR="00EA4B4D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17</w:t>
      </w: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mila nel settore meccanico, oltre 12mila in quello edile ed elettrico, più di 11mila in quello amministrativo segretariale e servizi di vendita. </w:t>
      </w:r>
    </w:p>
    <w:p w14:paraId="6A0D46C9" w14:textId="591CF832" w:rsidR="004A0E6E" w:rsidRPr="005D1F1F" w:rsidRDefault="004A0E6E" w:rsidP="005D1F1F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Viceversa, esistono figure la cui offerta in prospettiva dovrebbe superare la domanda, tra cui quelle dei settori ristorazione, agricolo, grafico, tessile e </w:t>
      </w:r>
      <w:r w:rsidR="00C3047D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soprattutto </w:t>
      </w: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benessere. </w:t>
      </w:r>
    </w:p>
    <w:p w14:paraId="61E48DB5" w14:textId="04CB1C92" w:rsidR="004748A1" w:rsidRPr="005D1F1F" w:rsidRDefault="004A0E6E" w:rsidP="005D1F1F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Nello specifico, l</w:t>
      </w:r>
      <w:r w:rsidR="004748A1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 figure professionali nella </w:t>
      </w:r>
      <w:proofErr w:type="spellStart"/>
      <w:r w:rsidR="004748A1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IeFP</w:t>
      </w:r>
      <w:proofErr w:type="spellEnd"/>
      <w:r w:rsidR="004748A1" w:rsidRPr="005D1F1F">
        <w:rPr>
          <w:rFonts w:eastAsia="Times New Roman" w:cstheme="minorHAnsi"/>
          <w:color w:val="FF0000"/>
          <w:kern w:val="0"/>
          <w:sz w:val="24"/>
          <w:szCs w:val="24"/>
          <w:lang w:eastAsia="it-IT"/>
          <w14:ligatures w14:val="none"/>
        </w:rPr>
        <w:t xml:space="preserve"> </w:t>
      </w:r>
      <w:r w:rsidR="004748A1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che hanno ricevuto il gradimento maggiore da parte dei corsisti sono l’operatore alla ristorazione (37.723 iscritti) e l’operatore del benessere (29.502 iscritti), seguono l’operatore meccanico (13.298 iscritti), l’operatore elettrico (11.121 iscritti) e l’operatore alla riparazione dei veicoli a motore (11.001 iscritti). Tra le nuove figure professionali, </w:t>
      </w:r>
      <w:r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spicca </w:t>
      </w:r>
      <w:r w:rsidR="004748A1" w:rsidRPr="005D1F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l’operatore informatico che pur essendo stata introdotta solo da questa annualità formativa, registra più iscritti al primo anno (846) rispetto ad altri percorsi di qualifica consolidati da tempo. </w:t>
      </w:r>
    </w:p>
    <w:p w14:paraId="39E3F005" w14:textId="77777777" w:rsidR="004748A1" w:rsidRDefault="004748A1" w:rsidP="005D1F1F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</w:p>
    <w:p w14:paraId="11519DA9" w14:textId="77777777" w:rsidR="00CC178F" w:rsidRPr="005D1F1F" w:rsidRDefault="00CC178F" w:rsidP="005D1F1F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</w:p>
    <w:p w14:paraId="5D95633D" w14:textId="77777777" w:rsidR="00685B81" w:rsidRPr="00066410" w:rsidRDefault="00685B81" w:rsidP="00685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6410">
        <w:rPr>
          <w:rFonts w:cstheme="minorHAnsi"/>
          <w:sz w:val="24"/>
          <w:szCs w:val="24"/>
        </w:rPr>
        <w:t>Per maggiori informazioni:</w:t>
      </w:r>
    </w:p>
    <w:p w14:paraId="470D166B" w14:textId="77777777" w:rsidR="00685B81" w:rsidRPr="00066410" w:rsidRDefault="00685B81" w:rsidP="00685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6410">
        <w:rPr>
          <w:rFonts w:cstheme="minorHAnsi"/>
          <w:sz w:val="24"/>
          <w:szCs w:val="24"/>
        </w:rPr>
        <w:t>Giancarlo Salemi</w:t>
      </w:r>
    </w:p>
    <w:p w14:paraId="5C21D8FE" w14:textId="77777777" w:rsidR="00685B81" w:rsidRPr="00066410" w:rsidRDefault="00685B81" w:rsidP="00685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6410">
        <w:rPr>
          <w:rFonts w:cstheme="minorHAnsi"/>
          <w:sz w:val="24"/>
          <w:szCs w:val="24"/>
        </w:rPr>
        <w:t>Portavoce Presidente INAPP (347 6312823)</w:t>
      </w:r>
    </w:p>
    <w:p w14:paraId="198E651D" w14:textId="77777777" w:rsidR="00685B81" w:rsidRPr="00066410" w:rsidRDefault="002C7F5C" w:rsidP="00685B81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6" w:history="1">
        <w:r w:rsidR="00685B81" w:rsidRPr="00066410">
          <w:rPr>
            <w:rStyle w:val="Collegamentoipertestuale"/>
            <w:rFonts w:cstheme="minorHAnsi"/>
            <w:sz w:val="24"/>
            <w:szCs w:val="24"/>
          </w:rPr>
          <w:t>stampa@inapp.org</w:t>
        </w:r>
      </w:hyperlink>
    </w:p>
    <w:p w14:paraId="4024E181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33AF9F33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5A53C726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6FC34EC9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7F2BCCC9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4064CD64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04D38664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7CEEC83F" w14:textId="77777777" w:rsidR="004748A1" w:rsidRDefault="004748A1" w:rsidP="005E2D8C">
      <w:pPr>
        <w:spacing w:before="120" w:after="0"/>
        <w:jc w:val="both"/>
        <w:rPr>
          <w:rFonts w:cstheme="minorHAnsi"/>
        </w:rPr>
      </w:pPr>
    </w:p>
    <w:p w14:paraId="61794995" w14:textId="77777777" w:rsidR="004748A1" w:rsidRPr="0043705B" w:rsidRDefault="004748A1" w:rsidP="005E2D8C">
      <w:pPr>
        <w:spacing w:before="120" w:after="0"/>
        <w:jc w:val="both"/>
        <w:rPr>
          <w:rFonts w:cstheme="minorHAnsi"/>
        </w:rPr>
      </w:pPr>
    </w:p>
    <w:sectPr w:rsidR="004748A1" w:rsidRPr="00437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2F"/>
    <w:rsid w:val="000033F5"/>
    <w:rsid w:val="00046706"/>
    <w:rsid w:val="001878E4"/>
    <w:rsid w:val="00225D2F"/>
    <w:rsid w:val="002277F2"/>
    <w:rsid w:val="002B6A23"/>
    <w:rsid w:val="002C7F5C"/>
    <w:rsid w:val="002F6E12"/>
    <w:rsid w:val="00336715"/>
    <w:rsid w:val="00380FB3"/>
    <w:rsid w:val="003878A4"/>
    <w:rsid w:val="0039671E"/>
    <w:rsid w:val="003B11B3"/>
    <w:rsid w:val="003E5803"/>
    <w:rsid w:val="0043705B"/>
    <w:rsid w:val="00472157"/>
    <w:rsid w:val="004748A1"/>
    <w:rsid w:val="004A0E6E"/>
    <w:rsid w:val="004E50D9"/>
    <w:rsid w:val="005442D4"/>
    <w:rsid w:val="005D1F1F"/>
    <w:rsid w:val="005E2D8C"/>
    <w:rsid w:val="00601D09"/>
    <w:rsid w:val="00685B81"/>
    <w:rsid w:val="006C0929"/>
    <w:rsid w:val="00730A2F"/>
    <w:rsid w:val="00850495"/>
    <w:rsid w:val="008650EB"/>
    <w:rsid w:val="008C7FA8"/>
    <w:rsid w:val="00924C98"/>
    <w:rsid w:val="00960C2F"/>
    <w:rsid w:val="00965873"/>
    <w:rsid w:val="009D1F2A"/>
    <w:rsid w:val="00AC78A1"/>
    <w:rsid w:val="00AD5C47"/>
    <w:rsid w:val="00B161B0"/>
    <w:rsid w:val="00B80C71"/>
    <w:rsid w:val="00BA5DFD"/>
    <w:rsid w:val="00BF2924"/>
    <w:rsid w:val="00C17287"/>
    <w:rsid w:val="00C3047D"/>
    <w:rsid w:val="00C5281A"/>
    <w:rsid w:val="00C630CD"/>
    <w:rsid w:val="00C87736"/>
    <w:rsid w:val="00CC178F"/>
    <w:rsid w:val="00D30651"/>
    <w:rsid w:val="00D82AE6"/>
    <w:rsid w:val="00E65041"/>
    <w:rsid w:val="00EA3774"/>
    <w:rsid w:val="00EA4B4D"/>
    <w:rsid w:val="00EB2533"/>
    <w:rsid w:val="00FC5CC2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8D1F"/>
  <w15:chartTrackingRefBased/>
  <w15:docId w15:val="{26CB61ED-C654-4D4F-9710-1794361E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85B8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inapp.org" TargetMode="External"/><Relationship Id="rId5" Type="http://schemas.openxmlformats.org/officeDocument/2006/relationships/hyperlink" Target="https://oa.inapp.org/xmlui/bitstream/handle/20.500.12916/3936/INAPP_XX-Rapporto-monitoraggio-sistema-IeFP-Duale_2023.pdf?sequence=4&amp;isAllowed=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Claudio</dc:creator>
  <cp:keywords/>
  <dc:description/>
  <cp:lastModifiedBy>Gentile Laura</cp:lastModifiedBy>
  <cp:revision>6</cp:revision>
  <dcterms:created xsi:type="dcterms:W3CDTF">2023-05-29T16:44:00Z</dcterms:created>
  <dcterms:modified xsi:type="dcterms:W3CDTF">2023-05-30T09:14:00Z</dcterms:modified>
</cp:coreProperties>
</file>