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B759" w14:textId="5218FF96" w:rsidR="00FD4907" w:rsidRDefault="00FD4907" w:rsidP="00C516D8">
      <w:pPr>
        <w:jc w:val="center"/>
        <w:rPr>
          <w:caps/>
          <w:spacing w:val="-8"/>
          <w:sz w:val="24"/>
          <w:szCs w:val="24"/>
        </w:rPr>
      </w:pPr>
      <w:r>
        <w:rPr>
          <w:caps/>
          <w:noProof/>
          <w:spacing w:val="-8"/>
          <w:sz w:val="24"/>
          <w:szCs w:val="24"/>
        </w:rPr>
        <w:drawing>
          <wp:inline distT="0" distB="0" distL="0" distR="0" wp14:anchorId="2412068B" wp14:editId="7FBCE217">
            <wp:extent cx="1529715" cy="1038304"/>
            <wp:effectExtent l="0" t="0" r="0" b="9525"/>
            <wp:docPr id="1" name="Immagine 1" descr="Immagine che contiene testo, schermata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Elementi grafici, grafic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155" cy="104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AD2DD" w14:textId="77777777" w:rsidR="00FD4907" w:rsidRDefault="00FD4907" w:rsidP="00C516D8">
      <w:pPr>
        <w:jc w:val="center"/>
        <w:rPr>
          <w:caps/>
          <w:spacing w:val="-8"/>
          <w:sz w:val="24"/>
          <w:szCs w:val="24"/>
        </w:rPr>
      </w:pPr>
    </w:p>
    <w:p w14:paraId="7CF7AB81" w14:textId="725A0BFD" w:rsidR="00C516D8" w:rsidRPr="00212D8F" w:rsidRDefault="00C516D8" w:rsidP="00C516D8">
      <w:pPr>
        <w:jc w:val="center"/>
        <w:rPr>
          <w:caps/>
          <w:spacing w:val="-8"/>
          <w:sz w:val="28"/>
          <w:szCs w:val="28"/>
        </w:rPr>
      </w:pPr>
      <w:r w:rsidRPr="00212D8F">
        <w:rPr>
          <w:caps/>
          <w:spacing w:val="-8"/>
          <w:sz w:val="28"/>
          <w:szCs w:val="28"/>
        </w:rPr>
        <w:t>comunicato stampa</w:t>
      </w:r>
    </w:p>
    <w:p w14:paraId="169290F0" w14:textId="29C20340" w:rsidR="00DB4240" w:rsidRPr="0035791C" w:rsidRDefault="0035791C" w:rsidP="00DB4240">
      <w:pPr>
        <w:rPr>
          <w:b/>
          <w:bCs/>
          <w:caps/>
          <w:spacing w:val="-8"/>
          <w:sz w:val="28"/>
          <w:szCs w:val="28"/>
        </w:rPr>
      </w:pPr>
      <w:r w:rsidRPr="0035791C">
        <w:rPr>
          <w:b/>
          <w:bCs/>
          <w:caps/>
          <w:spacing w:val="-8"/>
          <w:sz w:val="28"/>
          <w:szCs w:val="28"/>
        </w:rPr>
        <w:t>non profit</w:t>
      </w:r>
      <w:r w:rsidR="00DB4240" w:rsidRPr="0035791C">
        <w:rPr>
          <w:b/>
          <w:bCs/>
          <w:caps/>
          <w:spacing w:val="-8"/>
          <w:sz w:val="28"/>
          <w:szCs w:val="28"/>
        </w:rPr>
        <w:t xml:space="preserve">, INAPP: </w:t>
      </w:r>
      <w:r w:rsidRPr="0035791C">
        <w:rPr>
          <w:b/>
          <w:bCs/>
          <w:caps/>
          <w:spacing w:val="-8"/>
          <w:sz w:val="28"/>
          <w:szCs w:val="28"/>
        </w:rPr>
        <w:t>“</w:t>
      </w:r>
      <w:r w:rsidR="00334D37" w:rsidRPr="0035791C">
        <w:rPr>
          <w:b/>
          <w:bCs/>
          <w:caps/>
          <w:spacing w:val="-8"/>
          <w:sz w:val="28"/>
          <w:szCs w:val="28"/>
        </w:rPr>
        <w:t>Boom degli enti</w:t>
      </w:r>
      <w:r w:rsidRPr="0035791C">
        <w:rPr>
          <w:b/>
          <w:bCs/>
          <w:caps/>
          <w:spacing w:val="-8"/>
          <w:sz w:val="28"/>
          <w:szCs w:val="28"/>
        </w:rPr>
        <w:t xml:space="preserve"> nel sociale</w:t>
      </w:r>
      <w:r w:rsidR="00334D37" w:rsidRPr="0035791C">
        <w:rPr>
          <w:b/>
          <w:bCs/>
          <w:caps/>
          <w:spacing w:val="-8"/>
          <w:sz w:val="28"/>
          <w:szCs w:val="28"/>
        </w:rPr>
        <w:t>, quasi raddoppiati in 5 anni</w:t>
      </w:r>
      <w:r w:rsidRPr="0035791C">
        <w:rPr>
          <w:b/>
          <w:bCs/>
          <w:caps/>
          <w:spacing w:val="-8"/>
          <w:sz w:val="28"/>
          <w:szCs w:val="28"/>
        </w:rPr>
        <w:t>”</w:t>
      </w:r>
    </w:p>
    <w:p w14:paraId="09967B79" w14:textId="7DDE371E" w:rsidR="00C02255" w:rsidRPr="00A0369B" w:rsidRDefault="00334D37" w:rsidP="006D3F4F">
      <w:pPr>
        <w:jc w:val="center"/>
        <w:rPr>
          <w:b/>
          <w:bCs/>
          <w:spacing w:val="-6"/>
          <w:sz w:val="28"/>
          <w:szCs w:val="28"/>
        </w:rPr>
      </w:pPr>
      <w:r w:rsidRPr="00A0369B">
        <w:rPr>
          <w:b/>
          <w:bCs/>
          <w:spacing w:val="-6"/>
          <w:sz w:val="28"/>
          <w:szCs w:val="28"/>
        </w:rPr>
        <w:t xml:space="preserve">Dai 19mila del 2016 ai </w:t>
      </w:r>
      <w:r w:rsidR="007126F4" w:rsidRPr="00A0369B">
        <w:rPr>
          <w:b/>
          <w:bCs/>
          <w:spacing w:val="-6"/>
          <w:sz w:val="28"/>
          <w:szCs w:val="28"/>
        </w:rPr>
        <w:t>3</w:t>
      </w:r>
      <w:r w:rsidRPr="00A0369B">
        <w:rPr>
          <w:b/>
          <w:bCs/>
          <w:spacing w:val="-6"/>
          <w:sz w:val="28"/>
          <w:szCs w:val="28"/>
        </w:rPr>
        <w:t xml:space="preserve">4mila del 2021. </w:t>
      </w:r>
      <w:r w:rsidR="00F23A39" w:rsidRPr="00A0369B">
        <w:rPr>
          <w:b/>
          <w:bCs/>
          <w:spacing w:val="-6"/>
          <w:sz w:val="28"/>
          <w:szCs w:val="28"/>
        </w:rPr>
        <w:t xml:space="preserve">Impegnano </w:t>
      </w:r>
      <w:r w:rsidR="00C02255" w:rsidRPr="00A0369B">
        <w:rPr>
          <w:b/>
          <w:bCs/>
          <w:spacing w:val="-6"/>
          <w:sz w:val="28"/>
          <w:szCs w:val="28"/>
        </w:rPr>
        <w:t>1milione e 200mila addetti, per metà volontari</w:t>
      </w:r>
      <w:r w:rsidR="00077990">
        <w:rPr>
          <w:b/>
          <w:bCs/>
          <w:spacing w:val="-6"/>
          <w:sz w:val="28"/>
          <w:szCs w:val="28"/>
        </w:rPr>
        <w:t xml:space="preserve">, </w:t>
      </w:r>
      <w:r w:rsidR="00077990" w:rsidRPr="00077990">
        <w:rPr>
          <w:b/>
          <w:bCs/>
          <w:spacing w:val="-6"/>
          <w:sz w:val="28"/>
          <w:szCs w:val="28"/>
        </w:rPr>
        <w:t>offrendo servizi che raggiungono 3 milioni e mezzo di persone e famiglie</w:t>
      </w:r>
      <w:r w:rsidR="00C02255" w:rsidRPr="00A0369B">
        <w:rPr>
          <w:b/>
          <w:bCs/>
          <w:spacing w:val="-6"/>
          <w:sz w:val="28"/>
          <w:szCs w:val="28"/>
        </w:rPr>
        <w:t xml:space="preserve">. </w:t>
      </w:r>
    </w:p>
    <w:p w14:paraId="24590B44" w14:textId="5B60C762" w:rsidR="00673A68" w:rsidRPr="00212D8F" w:rsidRDefault="00673A68" w:rsidP="00DF0998">
      <w:pPr>
        <w:spacing w:after="160" w:line="259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212D8F">
        <w:rPr>
          <w:rFonts w:asciiTheme="majorHAnsi" w:hAnsiTheme="majorHAnsi" w:cstheme="majorHAnsi"/>
          <w:b/>
          <w:bCs/>
          <w:sz w:val="26"/>
          <w:szCs w:val="26"/>
        </w:rPr>
        <w:t>Fadda</w:t>
      </w:r>
      <w:r w:rsidR="00354141" w:rsidRPr="00212D8F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Pr="00212D8F">
        <w:rPr>
          <w:rFonts w:asciiTheme="majorHAnsi" w:hAnsiTheme="majorHAnsi" w:cstheme="majorHAnsi"/>
          <w:b/>
          <w:bCs/>
          <w:sz w:val="26"/>
          <w:szCs w:val="26"/>
        </w:rPr>
        <w:t>“</w:t>
      </w:r>
      <w:r w:rsidR="00354141" w:rsidRPr="00212D8F">
        <w:rPr>
          <w:rFonts w:asciiTheme="majorHAnsi" w:hAnsiTheme="majorHAnsi" w:cstheme="majorHAnsi"/>
          <w:b/>
          <w:bCs/>
          <w:sz w:val="26"/>
          <w:szCs w:val="26"/>
        </w:rPr>
        <w:t xml:space="preserve">Sebbene sia in costante crescita e rappresenti un pilastro fondamentale </w:t>
      </w:r>
      <w:r w:rsidR="00DF0998" w:rsidRPr="00212D8F">
        <w:rPr>
          <w:rFonts w:asciiTheme="majorHAnsi" w:hAnsiTheme="majorHAnsi" w:cstheme="majorHAnsi"/>
          <w:b/>
          <w:bCs/>
          <w:sz w:val="26"/>
          <w:szCs w:val="26"/>
        </w:rPr>
        <w:t>d</w:t>
      </w:r>
      <w:r w:rsidR="00354141" w:rsidRPr="00212D8F">
        <w:rPr>
          <w:rFonts w:asciiTheme="majorHAnsi" w:hAnsiTheme="majorHAnsi" w:cstheme="majorHAnsi"/>
          <w:b/>
          <w:bCs/>
          <w:sz w:val="26"/>
          <w:szCs w:val="26"/>
        </w:rPr>
        <w:t>el nostro sistema di welfare</w:t>
      </w:r>
      <w:r w:rsidR="00077990" w:rsidRPr="00212D8F">
        <w:rPr>
          <w:rFonts w:asciiTheme="majorHAnsi" w:hAnsiTheme="majorHAnsi" w:cstheme="majorHAnsi"/>
          <w:b/>
          <w:bCs/>
          <w:sz w:val="26"/>
          <w:szCs w:val="26"/>
        </w:rPr>
        <w:t>,</w:t>
      </w:r>
      <w:r w:rsidR="00354141" w:rsidRPr="00212D8F">
        <w:rPr>
          <w:rFonts w:asciiTheme="majorHAnsi" w:hAnsiTheme="majorHAnsi" w:cstheme="majorHAnsi"/>
          <w:b/>
          <w:bCs/>
          <w:sz w:val="26"/>
          <w:szCs w:val="26"/>
        </w:rPr>
        <w:t xml:space="preserve"> il non profit italiano </w:t>
      </w:r>
      <w:r w:rsidR="00F23A39" w:rsidRPr="00212D8F">
        <w:rPr>
          <w:rFonts w:asciiTheme="majorHAnsi" w:hAnsiTheme="majorHAnsi" w:cstheme="majorHAnsi"/>
          <w:b/>
          <w:bCs/>
          <w:sz w:val="26"/>
          <w:szCs w:val="26"/>
        </w:rPr>
        <w:t>deve ancora essere conosciuto a fondo e adeguatamente valorizzato</w:t>
      </w:r>
      <w:r w:rsidR="0087786E" w:rsidRPr="00212D8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E740BC" w:rsidRPr="00212D8F">
        <w:rPr>
          <w:rFonts w:asciiTheme="majorHAnsi" w:hAnsiTheme="majorHAnsi" w:cstheme="majorHAnsi"/>
          <w:b/>
          <w:bCs/>
          <w:sz w:val="26"/>
          <w:szCs w:val="26"/>
        </w:rPr>
        <w:t xml:space="preserve">È </w:t>
      </w:r>
      <w:r w:rsidR="00354141" w:rsidRPr="00212D8F">
        <w:rPr>
          <w:rFonts w:asciiTheme="majorHAnsi" w:hAnsiTheme="majorHAnsi" w:cstheme="majorHAnsi"/>
          <w:b/>
          <w:bCs/>
          <w:sz w:val="26"/>
          <w:szCs w:val="26"/>
        </w:rPr>
        <w:t>necessario</w:t>
      </w:r>
      <w:r w:rsidRPr="00212D8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493643" w:rsidRPr="00212D8F">
        <w:rPr>
          <w:rFonts w:asciiTheme="majorHAnsi" w:hAnsiTheme="majorHAnsi" w:cstheme="majorHAnsi"/>
          <w:b/>
          <w:bCs/>
          <w:sz w:val="26"/>
          <w:szCs w:val="26"/>
        </w:rPr>
        <w:t>sostenerlo</w:t>
      </w:r>
      <w:r w:rsidR="00066C5E" w:rsidRPr="00212D8F">
        <w:rPr>
          <w:rFonts w:asciiTheme="majorHAnsi" w:hAnsiTheme="majorHAnsi" w:cstheme="majorHAnsi"/>
          <w:b/>
          <w:bCs/>
          <w:sz w:val="26"/>
          <w:szCs w:val="26"/>
        </w:rPr>
        <w:t>,</w:t>
      </w:r>
      <w:r w:rsidR="00493643" w:rsidRPr="00212D8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0A4E25" w:rsidRPr="00212D8F">
        <w:rPr>
          <w:rFonts w:asciiTheme="majorHAnsi" w:hAnsiTheme="majorHAnsi" w:cstheme="majorHAnsi"/>
          <w:b/>
          <w:bCs/>
          <w:sz w:val="26"/>
          <w:szCs w:val="26"/>
        </w:rPr>
        <w:t xml:space="preserve">soprattutto </w:t>
      </w:r>
      <w:r w:rsidR="00493643" w:rsidRPr="00212D8F">
        <w:rPr>
          <w:rFonts w:asciiTheme="majorHAnsi" w:hAnsiTheme="majorHAnsi" w:cstheme="majorHAnsi"/>
          <w:b/>
          <w:bCs/>
          <w:sz w:val="26"/>
          <w:szCs w:val="26"/>
        </w:rPr>
        <w:t xml:space="preserve">in termini di </w:t>
      </w:r>
      <w:r w:rsidR="000618F3" w:rsidRPr="00212D8F">
        <w:rPr>
          <w:rFonts w:asciiTheme="majorHAnsi" w:hAnsiTheme="majorHAnsi" w:cstheme="majorHAnsi"/>
          <w:b/>
          <w:bCs/>
          <w:sz w:val="26"/>
          <w:szCs w:val="26"/>
        </w:rPr>
        <w:t xml:space="preserve">rafforzamento e di </w:t>
      </w:r>
      <w:r w:rsidR="000A4E25" w:rsidRPr="00212D8F">
        <w:rPr>
          <w:rFonts w:asciiTheme="majorHAnsi" w:hAnsiTheme="majorHAnsi" w:cstheme="majorHAnsi"/>
          <w:b/>
          <w:bCs/>
          <w:sz w:val="26"/>
          <w:szCs w:val="26"/>
        </w:rPr>
        <w:t xml:space="preserve">riconoscimento </w:t>
      </w:r>
      <w:r w:rsidR="00D27664" w:rsidRPr="00212D8F">
        <w:rPr>
          <w:rFonts w:asciiTheme="majorHAnsi" w:hAnsiTheme="majorHAnsi" w:cstheme="majorHAnsi"/>
          <w:b/>
          <w:bCs/>
          <w:sz w:val="26"/>
          <w:szCs w:val="26"/>
        </w:rPr>
        <w:t xml:space="preserve">delle competenze e </w:t>
      </w:r>
      <w:r w:rsidR="000A4E25" w:rsidRPr="00212D8F">
        <w:rPr>
          <w:rFonts w:asciiTheme="majorHAnsi" w:hAnsiTheme="majorHAnsi" w:cstheme="majorHAnsi"/>
          <w:b/>
          <w:bCs/>
          <w:sz w:val="26"/>
          <w:szCs w:val="26"/>
        </w:rPr>
        <w:t>dei profili professionali</w:t>
      </w:r>
      <w:r w:rsidR="00741251" w:rsidRPr="00212D8F">
        <w:rPr>
          <w:rFonts w:asciiTheme="majorHAnsi" w:hAnsiTheme="majorHAnsi" w:cstheme="majorHAnsi"/>
          <w:b/>
          <w:bCs/>
          <w:sz w:val="26"/>
          <w:szCs w:val="26"/>
        </w:rPr>
        <w:t xml:space="preserve">, condizione necessaria per qualificare le politiche di inclusione e per offrire alla cittadinanza </w:t>
      </w:r>
      <w:r w:rsidR="00066C5E" w:rsidRPr="00212D8F">
        <w:rPr>
          <w:rFonts w:asciiTheme="majorHAnsi" w:hAnsiTheme="majorHAnsi" w:cstheme="majorHAnsi"/>
          <w:b/>
          <w:bCs/>
          <w:sz w:val="26"/>
          <w:szCs w:val="26"/>
        </w:rPr>
        <w:t xml:space="preserve">servizi di welfare </w:t>
      </w:r>
      <w:r w:rsidR="00A73D0A" w:rsidRPr="00212D8F">
        <w:rPr>
          <w:rFonts w:asciiTheme="majorHAnsi" w:hAnsiTheme="majorHAnsi" w:cstheme="majorHAnsi"/>
          <w:b/>
          <w:bCs/>
          <w:sz w:val="26"/>
          <w:szCs w:val="26"/>
        </w:rPr>
        <w:t>non tanto sostitutivi delle prestazioni essenziali proprie dello Stato Sociale quanto invece complementari a queste per meglio rispondere ai bisogni dei cittadini</w:t>
      </w:r>
      <w:r w:rsidR="00BC039D" w:rsidRPr="00212D8F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="00066C5E" w:rsidRPr="00212D8F">
        <w:rPr>
          <w:rFonts w:asciiTheme="majorHAnsi" w:hAnsiTheme="majorHAnsi" w:cstheme="majorHAnsi"/>
          <w:b/>
          <w:bCs/>
          <w:sz w:val="26"/>
          <w:szCs w:val="26"/>
        </w:rPr>
        <w:t>”</w:t>
      </w:r>
    </w:p>
    <w:p w14:paraId="0FD9BA1F" w14:textId="77777777" w:rsidR="00212D8F" w:rsidRDefault="00212D8F" w:rsidP="008341C2">
      <w:pPr>
        <w:spacing w:after="160"/>
        <w:jc w:val="both"/>
      </w:pPr>
    </w:p>
    <w:p w14:paraId="6BAFA90F" w14:textId="02C30D16" w:rsidR="00A75388" w:rsidRPr="00212D8F" w:rsidRDefault="00540E97" w:rsidP="008341C2">
      <w:pPr>
        <w:spacing w:after="160"/>
        <w:jc w:val="both"/>
      </w:pPr>
      <w:r w:rsidRPr="00212D8F">
        <w:t>Roma,</w:t>
      </w:r>
      <w:r w:rsidR="00FD4907" w:rsidRPr="00212D8F">
        <w:t xml:space="preserve"> 27</w:t>
      </w:r>
      <w:r w:rsidRPr="00212D8F">
        <w:t xml:space="preserve"> </w:t>
      </w:r>
      <w:r w:rsidR="00F23A39" w:rsidRPr="00212D8F">
        <w:t xml:space="preserve">giugno </w:t>
      </w:r>
      <w:r w:rsidRPr="00212D8F">
        <w:t xml:space="preserve">2023 </w:t>
      </w:r>
      <w:r w:rsidR="00E740BC" w:rsidRPr="00212D8F">
        <w:t>–</w:t>
      </w:r>
      <w:r w:rsidRPr="00212D8F">
        <w:t xml:space="preserve"> </w:t>
      </w:r>
      <w:r w:rsidR="00204ADD" w:rsidRPr="00212D8F">
        <w:t>Sono 33.973 gli enti non profit impegnati nell’erogazione di servizi sociali</w:t>
      </w:r>
      <w:r w:rsidR="00E740BC" w:rsidRPr="00212D8F">
        <w:t xml:space="preserve"> nel 2021</w:t>
      </w:r>
      <w:r w:rsidR="00204ADD" w:rsidRPr="00212D8F">
        <w:t xml:space="preserve">, quasi il doppio rispetto ai 18.971 </w:t>
      </w:r>
      <w:r w:rsidR="00A20508" w:rsidRPr="00212D8F">
        <w:t>rilevati n</w:t>
      </w:r>
      <w:r w:rsidR="00204ADD" w:rsidRPr="00212D8F">
        <w:t>el 2016</w:t>
      </w:r>
      <w:r w:rsidR="0017524E" w:rsidRPr="00212D8F">
        <w:t>,</w:t>
      </w:r>
      <w:r w:rsidR="00725889" w:rsidRPr="00212D8F">
        <w:t xml:space="preserve"> prevalentemente presenti nel </w:t>
      </w:r>
      <w:r w:rsidR="0017524E" w:rsidRPr="00212D8F">
        <w:t>M</w:t>
      </w:r>
      <w:r w:rsidR="00725889" w:rsidRPr="00212D8F">
        <w:t xml:space="preserve">ezzogiorno (32,2%). </w:t>
      </w:r>
      <w:r w:rsidR="00F23A39" w:rsidRPr="00212D8F">
        <w:t xml:space="preserve">Impegnano </w:t>
      </w:r>
      <w:r w:rsidR="00204ADD" w:rsidRPr="00212D8F">
        <w:t>1</w:t>
      </w:r>
      <w:r w:rsidR="00725889" w:rsidRPr="00212D8F">
        <w:t xml:space="preserve">milione </w:t>
      </w:r>
      <w:r w:rsidR="00204ADD" w:rsidRPr="00212D8F">
        <w:t>200</w:t>
      </w:r>
      <w:r w:rsidR="00725889" w:rsidRPr="00212D8F">
        <w:t xml:space="preserve">mila </w:t>
      </w:r>
      <w:r w:rsidR="009B29EF" w:rsidRPr="00212D8F">
        <w:t xml:space="preserve">persone, equamente distribuite tra </w:t>
      </w:r>
      <w:r w:rsidR="002E4AEC" w:rsidRPr="00212D8F">
        <w:t xml:space="preserve">personale retribuito </w:t>
      </w:r>
      <w:r w:rsidR="00C02CBB" w:rsidRPr="00212D8F">
        <w:t xml:space="preserve">(49,8%) </w:t>
      </w:r>
      <w:r w:rsidR="002E4AEC" w:rsidRPr="00212D8F">
        <w:t>e volontario</w:t>
      </w:r>
      <w:r w:rsidR="00C02CBB" w:rsidRPr="00212D8F">
        <w:t xml:space="preserve"> (50</w:t>
      </w:r>
      <w:r w:rsidR="000D6D37" w:rsidRPr="00212D8F">
        <w:t>,2%)</w:t>
      </w:r>
      <w:r w:rsidR="00977470" w:rsidRPr="00212D8F">
        <w:t xml:space="preserve">, </w:t>
      </w:r>
      <w:r w:rsidR="00E70CD1" w:rsidRPr="00212D8F">
        <w:t>con una fortissima presenza delle donne</w:t>
      </w:r>
      <w:r w:rsidR="001A5BA3" w:rsidRPr="00212D8F">
        <w:t xml:space="preserve"> (oltre 800mila addette ovvero il doppio degli uomini)</w:t>
      </w:r>
      <w:r w:rsidR="00EF3AC1" w:rsidRPr="00212D8F">
        <w:t xml:space="preserve">, </w:t>
      </w:r>
      <w:r w:rsidR="00323AFC" w:rsidRPr="00212D8F">
        <w:t xml:space="preserve">offrendo </w:t>
      </w:r>
      <w:r w:rsidR="00F27F76" w:rsidRPr="00212D8F">
        <w:t xml:space="preserve">servizi </w:t>
      </w:r>
      <w:r w:rsidR="00323AFC" w:rsidRPr="00212D8F">
        <w:t xml:space="preserve">che </w:t>
      </w:r>
      <w:r w:rsidR="00F27F76" w:rsidRPr="00212D8F">
        <w:t>raggiung</w:t>
      </w:r>
      <w:r w:rsidR="00323AFC" w:rsidRPr="00212D8F">
        <w:t>ono</w:t>
      </w:r>
      <w:r w:rsidR="00F27F76" w:rsidRPr="00212D8F">
        <w:t xml:space="preserve"> 3 milioni e mezzo di </w:t>
      </w:r>
      <w:r w:rsidR="00F23A39" w:rsidRPr="00212D8F">
        <w:t>persone e famiglie</w:t>
      </w:r>
      <w:r w:rsidR="00F27F76" w:rsidRPr="00212D8F">
        <w:t xml:space="preserve">. </w:t>
      </w:r>
    </w:p>
    <w:p w14:paraId="7F549896" w14:textId="0E64C7AC" w:rsidR="00A20508" w:rsidRPr="00212D8F" w:rsidRDefault="00A20508" w:rsidP="00A20508">
      <w:pPr>
        <w:spacing w:after="160" w:line="259" w:lineRule="auto"/>
        <w:jc w:val="both"/>
      </w:pPr>
      <w:r w:rsidRPr="00212D8F">
        <w:t>È questa la fotografia scattata dall’Inapp con il report “</w:t>
      </w:r>
      <w:hyperlink r:id="rId5" w:history="1">
        <w:r w:rsidRPr="00712B0F">
          <w:rPr>
            <w:rStyle w:val="Collegamentoipertestuale"/>
          </w:rPr>
          <w:t>L’offerta dei servizi sociali del terzo settore</w:t>
        </w:r>
      </w:hyperlink>
      <w:r w:rsidRPr="00212D8F">
        <w:t xml:space="preserve">”, pubblicato in esito alla IV </w:t>
      </w:r>
      <w:r w:rsidR="00E740BC" w:rsidRPr="00212D8F">
        <w:t>I</w:t>
      </w:r>
      <w:r w:rsidRPr="00212D8F">
        <w:t xml:space="preserve">ndagine sui servizi sociali realizzati dal non profit, la rilevazione campionaria periodica dell’Inapp, realizzata a livello nazionale nel 2021 e che ha coinvolto circa 5mila enti.  </w:t>
      </w:r>
    </w:p>
    <w:p w14:paraId="7F8616FF" w14:textId="7458A3E8" w:rsidR="00334D37" w:rsidRPr="00212D8F" w:rsidRDefault="00334D37" w:rsidP="00334D37">
      <w:pPr>
        <w:spacing w:after="160" w:line="259" w:lineRule="auto"/>
        <w:jc w:val="both"/>
      </w:pPr>
      <w:r w:rsidRPr="00212D8F">
        <w:t xml:space="preserve">A differenza di altre indagini, questa dell’Inapp </w:t>
      </w:r>
      <w:r w:rsidRPr="00212D8F">
        <w:rPr>
          <w:rFonts w:eastAsia="Calibri" w:cs="Times New Roman"/>
        </w:rPr>
        <w:t xml:space="preserve">punta a fornire un quadro informativo su due elementi di solito indagati separatamente: i servizi sociali e le organizzazioni non profit impegnate nella realizzazione di tali servizi. Con questi dati è dunque possibile </w:t>
      </w:r>
      <w:r w:rsidRPr="00212D8F">
        <w:t xml:space="preserve">ricostruire, in maniera puntuale e articolata, il variegato </w:t>
      </w:r>
      <w:r w:rsidR="00DC0E8B" w:rsidRPr="00212D8F">
        <w:t xml:space="preserve">mondo </w:t>
      </w:r>
      <w:r w:rsidR="00077990" w:rsidRPr="00212D8F">
        <w:t>dei servizi sociali offerti dal</w:t>
      </w:r>
      <w:r w:rsidRPr="00212D8F">
        <w:t xml:space="preserve"> non profit</w:t>
      </w:r>
      <w:r w:rsidR="006D3F4F" w:rsidRPr="00212D8F">
        <w:t>. P</w:t>
      </w:r>
      <w:r w:rsidRPr="00212D8F">
        <w:t xml:space="preserve">arliamo di cooperative sociali e imprese sociali, organizzazioni di volontariato, associazioni di promozione sociale, enti filantropici, reti associative, realtà di mutuo soccorso - che operano nell’altrettanto variegato ambito dei servizi sociali: dagli interventi residenziali e socioassistenziali (36,6%), ai servizi di valutazione e accoglienza (26,3%), dal contrasto alla marginalità sociale al sostegno all’inclusione, in particolare con attività di informazione e prevenzione (51%) e integrazione socioeducativa (51%). </w:t>
      </w:r>
    </w:p>
    <w:p w14:paraId="058FAF4C" w14:textId="77777777" w:rsidR="00212D8F" w:rsidRPr="00212D8F" w:rsidRDefault="00212D8F" w:rsidP="008341C2">
      <w:pPr>
        <w:spacing w:after="160" w:line="259" w:lineRule="auto"/>
        <w:jc w:val="both"/>
        <w:rPr>
          <w:sz w:val="24"/>
          <w:szCs w:val="24"/>
        </w:rPr>
      </w:pPr>
    </w:p>
    <w:p w14:paraId="5B783E3E" w14:textId="3474F2B4" w:rsidR="00A20508" w:rsidRPr="006D3F4F" w:rsidRDefault="00354141" w:rsidP="008341C2">
      <w:pPr>
        <w:spacing w:after="160" w:line="259" w:lineRule="auto"/>
        <w:jc w:val="both"/>
      </w:pPr>
      <w:r w:rsidRPr="006D3F4F">
        <w:lastRenderedPageBreak/>
        <w:t>“</w:t>
      </w:r>
      <w:r w:rsidR="000F605B" w:rsidRPr="006D3F4F">
        <w:t>Sebbene sia in costante crescita e rappresenti un pilastro fondamentale del nostro sistema di welfare</w:t>
      </w:r>
      <w:r w:rsidR="00885105" w:rsidRPr="006D3F4F">
        <w:t xml:space="preserve"> – commenta Sebastiano Fadda, presidente dell’Inapp –</w:t>
      </w:r>
      <w:r w:rsidR="000F605B" w:rsidRPr="006D3F4F">
        <w:t xml:space="preserve"> il non profit italiano è ancora</w:t>
      </w:r>
      <w:r w:rsidR="00A67B62">
        <w:t xml:space="preserve"> da esplorare in tutte le sue dimensioni e da valorizzare adeguatamente</w:t>
      </w:r>
      <w:r w:rsidR="0095014C" w:rsidRPr="006D3F4F">
        <w:t xml:space="preserve">. </w:t>
      </w:r>
      <w:r w:rsidR="009E4C65" w:rsidRPr="006D3F4F">
        <w:t xml:space="preserve">È necessario sostenerlo, soprattutto in termini di </w:t>
      </w:r>
      <w:r w:rsidR="00027229">
        <w:t xml:space="preserve">rafforzamento e di </w:t>
      </w:r>
      <w:r w:rsidR="009E4C65" w:rsidRPr="006D3F4F">
        <w:t xml:space="preserve">riconoscimento delle competenze e dei profili professionali, condizione necessaria per qualificare le politiche di inclusione e per offrire alla cittadinanza servizi di welfare </w:t>
      </w:r>
      <w:r w:rsidR="00027229">
        <w:t xml:space="preserve">non tanto sostitutivi delle prestazioni essenziali proprie dello Stato Sociale quanto invece a queste complementari, per meglio rispondere ai </w:t>
      </w:r>
      <w:r w:rsidR="009E4C65" w:rsidRPr="006D3F4F">
        <w:t>bisogni</w:t>
      </w:r>
      <w:r w:rsidR="00027229">
        <w:t xml:space="preserve"> dei cittadini</w:t>
      </w:r>
      <w:r w:rsidR="009E4C65" w:rsidRPr="006D3F4F">
        <w:t>.”</w:t>
      </w:r>
    </w:p>
    <w:p w14:paraId="7E6C065B" w14:textId="652C5735" w:rsidR="006D3F4F" w:rsidRPr="006D3F4F" w:rsidRDefault="00E740BC" w:rsidP="006D3F4F">
      <w:pPr>
        <w:spacing w:after="160" w:line="259" w:lineRule="auto"/>
        <w:jc w:val="both"/>
      </w:pPr>
      <w:r>
        <w:t>La</w:t>
      </w:r>
      <w:r w:rsidR="00075792">
        <w:t xml:space="preserve"> forte </w:t>
      </w:r>
      <w:r w:rsidR="006D3F4F" w:rsidRPr="006D3F4F">
        <w:t xml:space="preserve">presenza </w:t>
      </w:r>
      <w:r w:rsidR="00075792">
        <w:t xml:space="preserve">delle donne nel settore si </w:t>
      </w:r>
      <w:r w:rsidR="006D3F4F" w:rsidRPr="006D3F4F">
        <w:t xml:space="preserve">concentra </w:t>
      </w:r>
      <w:r w:rsidR="00075792" w:rsidRPr="006D3F4F">
        <w:t xml:space="preserve">interamente </w:t>
      </w:r>
      <w:r w:rsidR="006D3F4F" w:rsidRPr="006D3F4F">
        <w:t>nelle posizioni operative e scarsamente rappresentata a livello apicale di governo degli enti. Prevale per l</w:t>
      </w:r>
      <w:r>
        <w:t>oro</w:t>
      </w:r>
      <w:r w:rsidR="006D3F4F" w:rsidRPr="006D3F4F">
        <w:t xml:space="preserve"> il lavoro retribuito e, in particolare, sono più numerose che altrove nelle </w:t>
      </w:r>
      <w:r>
        <w:t>c</w:t>
      </w:r>
      <w:r w:rsidR="006D3F4F" w:rsidRPr="006D3F4F">
        <w:t xml:space="preserve">ooperative sociali e nelle </w:t>
      </w:r>
      <w:r>
        <w:t>f</w:t>
      </w:r>
      <w:r w:rsidR="006D3F4F" w:rsidRPr="006D3F4F">
        <w:t xml:space="preserve">ondazioni. </w:t>
      </w:r>
    </w:p>
    <w:p w14:paraId="37147584" w14:textId="6C379B3C" w:rsidR="00822428" w:rsidRPr="0095150B" w:rsidRDefault="007171F0" w:rsidP="00822428">
      <w:pPr>
        <w:spacing w:after="160" w:line="259" w:lineRule="auto"/>
        <w:jc w:val="both"/>
      </w:pPr>
      <w:r w:rsidRPr="006D3F4F">
        <w:t>Guardando alla tipologia di enti, è</w:t>
      </w:r>
      <w:r>
        <w:t xml:space="preserve"> possibile rilevare come l</w:t>
      </w:r>
      <w:r w:rsidR="00822428" w:rsidRPr="0095150B">
        <w:t xml:space="preserve">e </w:t>
      </w:r>
      <w:r w:rsidR="00E740BC">
        <w:t>o</w:t>
      </w:r>
      <w:r w:rsidR="00822428" w:rsidRPr="0095150B">
        <w:t xml:space="preserve">rganizzazioni di volontariato </w:t>
      </w:r>
      <w:r>
        <w:t xml:space="preserve">siano </w:t>
      </w:r>
      <w:r w:rsidR="00822428" w:rsidRPr="0095150B">
        <w:t>il principale fornitore non profit di servizi sociali (39,1%), in crescita rispetto al 2016 (+6,2%)</w:t>
      </w:r>
      <w:r>
        <w:t>;</w:t>
      </w:r>
      <w:r w:rsidR="00822428" w:rsidRPr="0095150B">
        <w:t xml:space="preserve"> si concentrano, soprattutto, nel Nord-Est mentre una presenza più contenuta si rileva nel Mezzogiorno. Le Imprese sociali o Cooperative sociali (35,9%) sono molto rappresentate e in pieno sviluppo, </w:t>
      </w:r>
      <w:r w:rsidR="00E740BC">
        <w:t xml:space="preserve">con </w:t>
      </w:r>
      <w:r w:rsidR="00822428" w:rsidRPr="0095150B">
        <w:t>un incremento d</w:t>
      </w:r>
      <w:r w:rsidR="00E740BC">
        <w:t xml:space="preserve">el </w:t>
      </w:r>
      <w:r w:rsidR="00822428" w:rsidRPr="0095150B">
        <w:t xml:space="preserve">7,7%. Seguono, a grande distanza, le </w:t>
      </w:r>
      <w:r w:rsidR="00E740BC">
        <w:t>a</w:t>
      </w:r>
      <w:r w:rsidR="00822428" w:rsidRPr="0095150B">
        <w:t xml:space="preserve">ssociazioni di promozione sociale (9,1%) e gli </w:t>
      </w:r>
      <w:r w:rsidR="00E740BC">
        <w:t>e</w:t>
      </w:r>
      <w:r w:rsidR="00822428" w:rsidRPr="0095150B">
        <w:t xml:space="preserve">nti filantropici (o </w:t>
      </w:r>
      <w:r w:rsidR="00E740BC">
        <w:t>f</w:t>
      </w:r>
      <w:r w:rsidR="00822428" w:rsidRPr="0095150B">
        <w:t>ondazioni) in calo rispetto al periodo precedente (-3,2%).</w:t>
      </w:r>
    </w:p>
    <w:p w14:paraId="7D571991" w14:textId="4413C1BA" w:rsidR="00716C6F" w:rsidRPr="0095150B" w:rsidRDefault="006D3F4F" w:rsidP="00716C6F">
      <w:pPr>
        <w:spacing w:after="160" w:line="259" w:lineRule="auto"/>
        <w:jc w:val="both"/>
      </w:pPr>
      <w:r>
        <w:t>L</w:t>
      </w:r>
      <w:r w:rsidR="00716C6F" w:rsidRPr="0095150B">
        <w:t xml:space="preserve">a distribuzione territoriale degli addetti mostra un diverso andamento: il Nord-Ovest con il 39,4% ha il maggior numero di addetti mentre il Mezzogiorno assorbe solo il 20,6% del totale degli addetti a livello nazionale. Inoltre, la distribuzione del personale tra retribuiti e volontari vede, soprattutto nelle aree settentrionali, una maggiore consistenza di lavoro volontario (nord-ovest 31,6%) mentre nel mezzogiorno si osserva il fenomeno contrario con una prevalenza di lavoro retribuito (43,3%). </w:t>
      </w:r>
    </w:p>
    <w:p w14:paraId="7926602D" w14:textId="77777777" w:rsidR="00716C6F" w:rsidRPr="002336FC" w:rsidRDefault="00716C6F" w:rsidP="00716C6F">
      <w:pPr>
        <w:spacing w:after="160" w:line="259" w:lineRule="auto"/>
        <w:jc w:val="both"/>
      </w:pPr>
      <w:r w:rsidRPr="006D3F4F">
        <w:t>La pervasività degli enti non profit nella realizzazione di servizi sociali risulta confermata dalla ragguardevole numerosità di utenza raggiunta che, mediamente</w:t>
      </w:r>
      <w:r w:rsidRPr="0095150B">
        <w:t xml:space="preserve">, si attesta intorno a quota 3milioni e mezzo di persone. La </w:t>
      </w:r>
      <w:r w:rsidRPr="002336FC">
        <w:t>maggior parte delle prestazioni è rivolta alle famiglie (63,7%) seguite dalle persone disabili (57,1%) e dai minori (53,8%).</w:t>
      </w:r>
    </w:p>
    <w:p w14:paraId="286C9AB1" w14:textId="43DD11FB" w:rsidR="00497DCF" w:rsidRPr="00B16D22" w:rsidRDefault="00812013" w:rsidP="008B218D">
      <w:pPr>
        <w:spacing w:after="0"/>
        <w:jc w:val="both"/>
        <w:rPr>
          <w:rFonts w:eastAsia="Calibri" w:cs="Times New Roman"/>
          <w:strike/>
        </w:rPr>
      </w:pPr>
      <w:r w:rsidRPr="002336FC">
        <w:rPr>
          <w:rFonts w:eastAsia="Calibri" w:cs="Times New Roman"/>
        </w:rPr>
        <w:t>“</w:t>
      </w:r>
      <w:r w:rsidR="00847CDC" w:rsidRPr="002336FC">
        <w:rPr>
          <w:rFonts w:eastAsia="Calibri" w:cs="Times New Roman"/>
        </w:rPr>
        <w:t>In questo contesto</w:t>
      </w:r>
      <w:r w:rsidR="00C516D8">
        <w:rPr>
          <w:rFonts w:eastAsia="Calibri" w:cs="Times New Roman"/>
        </w:rPr>
        <w:t xml:space="preserve"> </w:t>
      </w:r>
      <w:r w:rsidR="00847CDC" w:rsidRPr="002336FC">
        <w:rPr>
          <w:rFonts w:eastAsia="Calibri" w:cs="Times New Roman"/>
        </w:rPr>
        <w:t>– conclude Fadda – l</w:t>
      </w:r>
      <w:r w:rsidR="00497DCF" w:rsidRPr="002336FC">
        <w:rPr>
          <w:rFonts w:eastAsia="Calibri" w:cs="Times New Roman"/>
        </w:rPr>
        <w:t>a valorizzazione del lavoro sociale</w:t>
      </w:r>
      <w:r w:rsidR="00CE5BD3" w:rsidRPr="002336FC">
        <w:rPr>
          <w:rFonts w:eastAsia="Calibri" w:cs="Times New Roman"/>
        </w:rPr>
        <w:t xml:space="preserve"> </w:t>
      </w:r>
      <w:r w:rsidR="002537E2" w:rsidRPr="002336FC">
        <w:rPr>
          <w:rFonts w:eastAsia="Calibri" w:cs="Times New Roman"/>
        </w:rPr>
        <w:t xml:space="preserve">deve seguire </w:t>
      </w:r>
      <w:r w:rsidR="00497DCF" w:rsidRPr="002336FC">
        <w:rPr>
          <w:rFonts w:eastAsia="Calibri" w:cs="Times New Roman"/>
        </w:rPr>
        <w:t>le indicazioni contenute nella recente strategia europea dell’assistenza</w:t>
      </w:r>
      <w:r w:rsidR="001370AF">
        <w:rPr>
          <w:rFonts w:eastAsia="Calibri" w:cs="Times New Roman"/>
        </w:rPr>
        <w:t>,</w:t>
      </w:r>
      <w:r w:rsidR="002537E2" w:rsidRPr="002336FC">
        <w:rPr>
          <w:rFonts w:eastAsia="Calibri" w:cs="Times New Roman"/>
        </w:rPr>
        <w:t xml:space="preserve"> che </w:t>
      </w:r>
      <w:r w:rsidR="00736C1A">
        <w:rPr>
          <w:rFonts w:eastAsia="Calibri" w:cs="Times New Roman"/>
        </w:rPr>
        <w:t xml:space="preserve">sottolinea la necessità di </w:t>
      </w:r>
      <w:r w:rsidR="00497DCF" w:rsidRPr="002336FC">
        <w:rPr>
          <w:rFonts w:eastAsia="Calibri" w:cs="Times New Roman"/>
        </w:rPr>
        <w:t>percorsi formativi altamente qualificanti</w:t>
      </w:r>
      <w:r w:rsidR="00736C1A">
        <w:rPr>
          <w:rFonts w:eastAsia="Calibri" w:cs="Times New Roman"/>
        </w:rPr>
        <w:t xml:space="preserve"> per garantire efficacia ed efficienza dei servizi sociali, da concepire in un’ottica non di “erogazione di prestazioni” ma di supporto e di coinvolgimento attivo dei soggetti presi in carico. Anche il </w:t>
      </w:r>
      <w:r w:rsidR="00497DCF" w:rsidRPr="002336FC">
        <w:rPr>
          <w:rFonts w:eastAsia="Calibri" w:cs="Times New Roman"/>
        </w:rPr>
        <w:t>lavoro volontari</w:t>
      </w:r>
      <w:r w:rsidR="00C516D8">
        <w:rPr>
          <w:rFonts w:eastAsia="Calibri" w:cs="Times New Roman"/>
        </w:rPr>
        <w:t>o</w:t>
      </w:r>
      <w:r w:rsidR="00736C1A">
        <w:rPr>
          <w:rFonts w:eastAsia="Calibri" w:cs="Times New Roman"/>
        </w:rPr>
        <w:t xml:space="preserve"> deve essere valorizzato in questa prospettiva</w:t>
      </w:r>
      <w:r w:rsidR="00F95E48" w:rsidRPr="002336FC">
        <w:rPr>
          <w:rFonts w:eastAsia="Calibri" w:cs="Times New Roman"/>
        </w:rPr>
        <w:t>.</w:t>
      </w:r>
      <w:r w:rsidR="00D35453" w:rsidRPr="002336FC">
        <w:rPr>
          <w:rFonts w:eastAsia="Calibri" w:cs="Times New Roman"/>
        </w:rPr>
        <w:t xml:space="preserve"> </w:t>
      </w:r>
      <w:r w:rsidR="00C516D8">
        <w:rPr>
          <w:rFonts w:eastAsia="Calibri" w:cs="Times New Roman"/>
        </w:rPr>
        <w:t xml:space="preserve">Un tema che l’Inapp seguirà da vicino insieme  </w:t>
      </w:r>
      <w:r w:rsidR="00D35453" w:rsidRPr="002336FC">
        <w:rPr>
          <w:rFonts w:eastAsia="Calibri" w:cs="Times New Roman"/>
        </w:rPr>
        <w:t xml:space="preserve"> </w:t>
      </w:r>
      <w:r w:rsidR="00C516D8">
        <w:rPr>
          <w:rFonts w:eastAsia="Calibri" w:cs="Times New Roman"/>
        </w:rPr>
        <w:t>all’impatto</w:t>
      </w:r>
      <w:r w:rsidR="00497DCF" w:rsidRPr="002336FC">
        <w:rPr>
          <w:rFonts w:eastAsia="Calibri" w:cs="Times New Roman"/>
        </w:rPr>
        <w:t xml:space="preserve"> della digitalizzazione</w:t>
      </w:r>
      <w:r w:rsidR="00C516D8">
        <w:rPr>
          <w:rFonts w:eastAsia="Calibri" w:cs="Times New Roman"/>
        </w:rPr>
        <w:t>,</w:t>
      </w:r>
      <w:r w:rsidR="00E740BC">
        <w:rPr>
          <w:rFonts w:eastAsia="Calibri" w:cs="Times New Roman"/>
        </w:rPr>
        <w:t xml:space="preserve"> </w:t>
      </w:r>
      <w:r w:rsidR="00C516D8">
        <w:rPr>
          <w:rFonts w:eastAsia="Calibri" w:cs="Times New Roman"/>
        </w:rPr>
        <w:t>u</w:t>
      </w:r>
      <w:r w:rsidR="00E740BC">
        <w:rPr>
          <w:rFonts w:eastAsia="Calibri" w:cs="Times New Roman"/>
        </w:rPr>
        <w:t xml:space="preserve">n </w:t>
      </w:r>
      <w:r w:rsidR="00497DCF" w:rsidRPr="002336FC">
        <w:rPr>
          <w:rFonts w:eastAsia="Calibri" w:cs="Times New Roman"/>
        </w:rPr>
        <w:t>processo di cambiamento portatore di rischi e opportunità</w:t>
      </w:r>
      <w:r w:rsidR="001370AF">
        <w:rPr>
          <w:rFonts w:eastAsia="Calibri" w:cs="Times New Roman"/>
        </w:rPr>
        <w:t xml:space="preserve"> per il futuro</w:t>
      </w:r>
      <w:r w:rsidR="005B72E3">
        <w:rPr>
          <w:rFonts w:eastAsia="Calibri" w:cs="Times New Roman"/>
        </w:rPr>
        <w:t xml:space="preserve"> anche nel settore dei servizi sociali</w:t>
      </w:r>
      <w:r w:rsidR="001370AF">
        <w:rPr>
          <w:rFonts w:eastAsia="Calibri" w:cs="Times New Roman"/>
        </w:rPr>
        <w:t>”.</w:t>
      </w:r>
      <w:r w:rsidR="00736C1A">
        <w:rPr>
          <w:rFonts w:eastAsia="Calibri" w:cs="Times New Roman"/>
        </w:rPr>
        <w:t xml:space="preserve"> </w:t>
      </w:r>
    </w:p>
    <w:p w14:paraId="5E2E48B4" w14:textId="7444AA28" w:rsidR="00385CAA" w:rsidRDefault="00385CAA" w:rsidP="000F605B">
      <w:pPr>
        <w:spacing w:after="160" w:line="259" w:lineRule="auto"/>
      </w:pPr>
    </w:p>
    <w:p w14:paraId="0940BF8A" w14:textId="1400C01E" w:rsidR="00212D8F" w:rsidRDefault="00212D8F" w:rsidP="000F605B">
      <w:pPr>
        <w:spacing w:after="160" w:line="259" w:lineRule="auto"/>
      </w:pPr>
    </w:p>
    <w:p w14:paraId="4FC1775B" w14:textId="77777777" w:rsidR="00B36754" w:rsidRPr="00B36754" w:rsidRDefault="00B36754" w:rsidP="00B36754">
      <w:pPr>
        <w:spacing w:after="0" w:line="240" w:lineRule="auto"/>
        <w:jc w:val="both"/>
        <w:rPr>
          <w:rFonts w:cstheme="minorHAnsi"/>
        </w:rPr>
      </w:pPr>
      <w:r w:rsidRPr="00B36754">
        <w:rPr>
          <w:rFonts w:cstheme="minorHAnsi"/>
        </w:rPr>
        <w:t>Per maggiori informazioni:</w:t>
      </w:r>
    </w:p>
    <w:p w14:paraId="4C0CB846" w14:textId="77777777" w:rsidR="00B36754" w:rsidRPr="00B36754" w:rsidRDefault="00B36754" w:rsidP="00B36754">
      <w:pPr>
        <w:spacing w:after="0" w:line="240" w:lineRule="auto"/>
        <w:jc w:val="both"/>
        <w:rPr>
          <w:rFonts w:cstheme="minorHAnsi"/>
        </w:rPr>
      </w:pPr>
      <w:r w:rsidRPr="00B36754">
        <w:rPr>
          <w:rFonts w:cstheme="minorHAnsi"/>
        </w:rPr>
        <w:t>Giancarlo Salemi</w:t>
      </w:r>
    </w:p>
    <w:p w14:paraId="1F062395" w14:textId="77777777" w:rsidR="00B36754" w:rsidRPr="00B36754" w:rsidRDefault="00B36754" w:rsidP="00B36754">
      <w:pPr>
        <w:spacing w:after="0" w:line="240" w:lineRule="auto"/>
        <w:jc w:val="both"/>
        <w:rPr>
          <w:rFonts w:cstheme="minorHAnsi"/>
        </w:rPr>
      </w:pPr>
      <w:r w:rsidRPr="00B36754">
        <w:rPr>
          <w:rFonts w:cstheme="minorHAnsi"/>
        </w:rPr>
        <w:t>Portavoce Presidente INAPP (347 6312823)</w:t>
      </w:r>
    </w:p>
    <w:p w14:paraId="498FCFEA" w14:textId="77777777" w:rsidR="00B36754" w:rsidRPr="00B36754" w:rsidRDefault="00712B0F" w:rsidP="00B36754">
      <w:pPr>
        <w:spacing w:after="0" w:line="240" w:lineRule="auto"/>
        <w:jc w:val="both"/>
        <w:rPr>
          <w:rFonts w:cstheme="minorHAnsi"/>
        </w:rPr>
      </w:pPr>
      <w:hyperlink r:id="rId6" w:history="1">
        <w:r w:rsidR="00B36754" w:rsidRPr="00B36754">
          <w:rPr>
            <w:rStyle w:val="Collegamentoipertestuale"/>
            <w:rFonts w:cstheme="minorHAnsi"/>
          </w:rPr>
          <w:t>stampa@inapp.org</w:t>
        </w:r>
      </w:hyperlink>
    </w:p>
    <w:p w14:paraId="2D28141C" w14:textId="77777777" w:rsidR="00B36754" w:rsidRPr="00B36754" w:rsidRDefault="00B36754" w:rsidP="00B36754">
      <w:pPr>
        <w:spacing w:before="120" w:after="0"/>
        <w:jc w:val="both"/>
        <w:rPr>
          <w:rFonts w:cstheme="minorHAnsi"/>
        </w:rPr>
      </w:pPr>
    </w:p>
    <w:p w14:paraId="7BD6EE1A" w14:textId="77777777" w:rsidR="00212D8F" w:rsidRPr="00B36754" w:rsidRDefault="00212D8F" w:rsidP="000F605B">
      <w:pPr>
        <w:spacing w:after="160" w:line="259" w:lineRule="auto"/>
      </w:pPr>
    </w:p>
    <w:sectPr w:rsidR="00212D8F" w:rsidRPr="00B367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20"/>
    <w:rsid w:val="0001342A"/>
    <w:rsid w:val="00023B21"/>
    <w:rsid w:val="00027229"/>
    <w:rsid w:val="00043C31"/>
    <w:rsid w:val="00052D82"/>
    <w:rsid w:val="000618F3"/>
    <w:rsid w:val="00066C5E"/>
    <w:rsid w:val="00075792"/>
    <w:rsid w:val="00077990"/>
    <w:rsid w:val="00082C92"/>
    <w:rsid w:val="000A44B0"/>
    <w:rsid w:val="000A4E25"/>
    <w:rsid w:val="000D6D37"/>
    <w:rsid w:val="000F605B"/>
    <w:rsid w:val="00122A60"/>
    <w:rsid w:val="00124D98"/>
    <w:rsid w:val="001370AF"/>
    <w:rsid w:val="00147CC3"/>
    <w:rsid w:val="001571F0"/>
    <w:rsid w:val="0017524E"/>
    <w:rsid w:val="001A5BA3"/>
    <w:rsid w:val="001C5F0B"/>
    <w:rsid w:val="001D5443"/>
    <w:rsid w:val="00204ADD"/>
    <w:rsid w:val="00212D8F"/>
    <w:rsid w:val="002237F6"/>
    <w:rsid w:val="002336FC"/>
    <w:rsid w:val="002537E2"/>
    <w:rsid w:val="00276240"/>
    <w:rsid w:val="002810C3"/>
    <w:rsid w:val="00281F3C"/>
    <w:rsid w:val="00295591"/>
    <w:rsid w:val="002E4AEC"/>
    <w:rsid w:val="00323AFC"/>
    <w:rsid w:val="00332063"/>
    <w:rsid w:val="00334D37"/>
    <w:rsid w:val="00354141"/>
    <w:rsid w:val="0035791C"/>
    <w:rsid w:val="00385CAA"/>
    <w:rsid w:val="003A01AF"/>
    <w:rsid w:val="003B4FA3"/>
    <w:rsid w:val="003B7DA6"/>
    <w:rsid w:val="00446BC2"/>
    <w:rsid w:val="00452C83"/>
    <w:rsid w:val="0046155C"/>
    <w:rsid w:val="004621E6"/>
    <w:rsid w:val="00471AF6"/>
    <w:rsid w:val="00493643"/>
    <w:rsid w:val="00497DCF"/>
    <w:rsid w:val="004B4EA5"/>
    <w:rsid w:val="004B6C55"/>
    <w:rsid w:val="004D0F88"/>
    <w:rsid w:val="004F6E83"/>
    <w:rsid w:val="00524D53"/>
    <w:rsid w:val="00540E97"/>
    <w:rsid w:val="00557C03"/>
    <w:rsid w:val="00574F28"/>
    <w:rsid w:val="005B72E3"/>
    <w:rsid w:val="005C0761"/>
    <w:rsid w:val="005E3ED1"/>
    <w:rsid w:val="005E5E4B"/>
    <w:rsid w:val="005E65D5"/>
    <w:rsid w:val="006014B9"/>
    <w:rsid w:val="0060592A"/>
    <w:rsid w:val="0061317E"/>
    <w:rsid w:val="006202E5"/>
    <w:rsid w:val="00673A68"/>
    <w:rsid w:val="00684CC0"/>
    <w:rsid w:val="00693082"/>
    <w:rsid w:val="006B4CBA"/>
    <w:rsid w:val="006D3F4F"/>
    <w:rsid w:val="007126F4"/>
    <w:rsid w:val="00712B0F"/>
    <w:rsid w:val="00716C6F"/>
    <w:rsid w:val="007171F0"/>
    <w:rsid w:val="00725889"/>
    <w:rsid w:val="00727458"/>
    <w:rsid w:val="00736C1A"/>
    <w:rsid w:val="00741251"/>
    <w:rsid w:val="00775B87"/>
    <w:rsid w:val="00795841"/>
    <w:rsid w:val="007D6A29"/>
    <w:rsid w:val="00812013"/>
    <w:rsid w:val="00814464"/>
    <w:rsid w:val="00822428"/>
    <w:rsid w:val="008341C2"/>
    <w:rsid w:val="00845063"/>
    <w:rsid w:val="00847CDC"/>
    <w:rsid w:val="00850A71"/>
    <w:rsid w:val="0087786E"/>
    <w:rsid w:val="0088322F"/>
    <w:rsid w:val="00885105"/>
    <w:rsid w:val="008B218D"/>
    <w:rsid w:val="008C170D"/>
    <w:rsid w:val="0090205C"/>
    <w:rsid w:val="0095014C"/>
    <w:rsid w:val="0095150B"/>
    <w:rsid w:val="00977470"/>
    <w:rsid w:val="009B29EF"/>
    <w:rsid w:val="009C470F"/>
    <w:rsid w:val="009C4AF6"/>
    <w:rsid w:val="009E38AC"/>
    <w:rsid w:val="009E4C65"/>
    <w:rsid w:val="00A0369B"/>
    <w:rsid w:val="00A20508"/>
    <w:rsid w:val="00A4035D"/>
    <w:rsid w:val="00A46A05"/>
    <w:rsid w:val="00A52628"/>
    <w:rsid w:val="00A6187A"/>
    <w:rsid w:val="00A651A5"/>
    <w:rsid w:val="00A67B62"/>
    <w:rsid w:val="00A73D0A"/>
    <w:rsid w:val="00A75388"/>
    <w:rsid w:val="00AA293B"/>
    <w:rsid w:val="00AD3D18"/>
    <w:rsid w:val="00AD6886"/>
    <w:rsid w:val="00AF1120"/>
    <w:rsid w:val="00B05889"/>
    <w:rsid w:val="00B159B5"/>
    <w:rsid w:val="00B16D22"/>
    <w:rsid w:val="00B36754"/>
    <w:rsid w:val="00B87D76"/>
    <w:rsid w:val="00BC039D"/>
    <w:rsid w:val="00C02255"/>
    <w:rsid w:val="00C02CBB"/>
    <w:rsid w:val="00C0389A"/>
    <w:rsid w:val="00C516D8"/>
    <w:rsid w:val="00C93B14"/>
    <w:rsid w:val="00C945E3"/>
    <w:rsid w:val="00CC49ED"/>
    <w:rsid w:val="00CE5BD3"/>
    <w:rsid w:val="00D27664"/>
    <w:rsid w:val="00D35453"/>
    <w:rsid w:val="00D354FB"/>
    <w:rsid w:val="00D62526"/>
    <w:rsid w:val="00D64D3B"/>
    <w:rsid w:val="00D704CB"/>
    <w:rsid w:val="00D7760E"/>
    <w:rsid w:val="00DB4240"/>
    <w:rsid w:val="00DC0AE3"/>
    <w:rsid w:val="00DC0E8B"/>
    <w:rsid w:val="00DD6855"/>
    <w:rsid w:val="00DF0998"/>
    <w:rsid w:val="00E032E8"/>
    <w:rsid w:val="00E07057"/>
    <w:rsid w:val="00E16950"/>
    <w:rsid w:val="00E506D2"/>
    <w:rsid w:val="00E633DD"/>
    <w:rsid w:val="00E70CD1"/>
    <w:rsid w:val="00E740BC"/>
    <w:rsid w:val="00E90553"/>
    <w:rsid w:val="00EF3AC1"/>
    <w:rsid w:val="00F03E06"/>
    <w:rsid w:val="00F07F79"/>
    <w:rsid w:val="00F17A60"/>
    <w:rsid w:val="00F23A39"/>
    <w:rsid w:val="00F27F76"/>
    <w:rsid w:val="00F31AA7"/>
    <w:rsid w:val="00F475F1"/>
    <w:rsid w:val="00F95E48"/>
    <w:rsid w:val="00FB78E7"/>
    <w:rsid w:val="00FD4907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87CF"/>
  <w15:chartTrackingRefBased/>
  <w15:docId w15:val="{B51DBF52-93C7-4F49-B1AD-AE540009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12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E38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38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38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38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38A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F23A39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B3675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2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mpa@inapp.org" TargetMode="External"/><Relationship Id="rId5" Type="http://schemas.openxmlformats.org/officeDocument/2006/relationships/hyperlink" Target="https://oa.inapp.org/xmlui/bitstream/handle/20.500.12916/3924/INAPP_Natoli-Turchini_Offerta-servizi-sociali-Terzo-settore_IR-34_2023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Laura</dc:creator>
  <cp:keywords/>
  <dc:description/>
  <cp:lastModifiedBy>Stampa Inapp</cp:lastModifiedBy>
  <cp:revision>14</cp:revision>
  <dcterms:created xsi:type="dcterms:W3CDTF">2023-06-26T14:24:00Z</dcterms:created>
  <dcterms:modified xsi:type="dcterms:W3CDTF">2023-06-27T07:31:00Z</dcterms:modified>
</cp:coreProperties>
</file>