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E5A20" w:rsidRPr="00BE5A20" w14:paraId="6D632793" w14:textId="77777777" w:rsidTr="00BE3427">
        <w:tc>
          <w:tcPr>
            <w:tcW w:w="4814" w:type="dxa"/>
          </w:tcPr>
          <w:p w14:paraId="113E9BA5" w14:textId="465351E3" w:rsidR="00BE5A20" w:rsidRPr="00BE5A20" w:rsidRDefault="00BE5A20" w:rsidP="00BE5A20">
            <w:pPr>
              <w:spacing w:after="150" w:line="375" w:lineRule="atLeast"/>
              <w:jc w:val="center"/>
              <w:rPr>
                <w:rFonts w:ascii="Open Sans" w:eastAsia="Times New Roman" w:hAnsi="Open Sans" w:cs="Times New Roman"/>
                <w:color w:val="000000" w:themeColor="text1"/>
                <w:sz w:val="21"/>
                <w:szCs w:val="21"/>
                <w:u w:val="single"/>
                <w:lang w:eastAsia="it-IT"/>
              </w:rPr>
            </w:pPr>
            <w:r w:rsidRPr="00BE5A20">
              <w:rPr>
                <w:rFonts w:ascii="Open Sans" w:eastAsia="Times New Roman" w:hAnsi="Open Sans" w:cs="Times New Roman"/>
                <w:noProof/>
                <w:color w:val="000000" w:themeColor="text1"/>
                <w:sz w:val="21"/>
                <w:szCs w:val="21"/>
                <w:u w:val="single"/>
                <w:lang w:eastAsia="it-IT"/>
              </w:rPr>
              <w:drawing>
                <wp:anchor distT="0" distB="0" distL="114300" distR="114300" simplePos="0" relativeHeight="251660288" behindDoc="0" locked="0" layoutInCell="1" allowOverlap="1" wp14:anchorId="0FF22CC3" wp14:editId="5FE729C5">
                  <wp:simplePos x="0" y="0"/>
                  <wp:positionH relativeFrom="column">
                    <wp:posOffset>64770</wp:posOffset>
                  </wp:positionH>
                  <wp:positionV relativeFrom="paragraph">
                    <wp:posOffset>172085</wp:posOffset>
                  </wp:positionV>
                  <wp:extent cx="1111250" cy="754380"/>
                  <wp:effectExtent l="0" t="0" r="0" b="7620"/>
                  <wp:wrapSquare wrapText="bothSides"/>
                  <wp:docPr id="3" name="Immagine 3" descr="Immagine che contiene testo, schermata, Elementi grafici, Policrom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schermata, Elementi grafici, Policromia&#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1250" cy="754380"/>
                          </a:xfrm>
                          <a:prstGeom prst="rect">
                            <a:avLst/>
                          </a:prstGeom>
                        </pic:spPr>
                      </pic:pic>
                    </a:graphicData>
                  </a:graphic>
                  <wp14:sizeRelH relativeFrom="page">
                    <wp14:pctWidth>0</wp14:pctWidth>
                  </wp14:sizeRelH>
                  <wp14:sizeRelV relativeFrom="page">
                    <wp14:pctHeight>0</wp14:pctHeight>
                  </wp14:sizeRelV>
                </wp:anchor>
              </w:drawing>
            </w:r>
          </w:p>
        </w:tc>
        <w:tc>
          <w:tcPr>
            <w:tcW w:w="4814" w:type="dxa"/>
          </w:tcPr>
          <w:p w14:paraId="29E5BBD2" w14:textId="77537FF5" w:rsidR="00BE5A20" w:rsidRPr="00BE5A20" w:rsidRDefault="005A2491" w:rsidP="00BE5A20">
            <w:pPr>
              <w:spacing w:after="150" w:line="375" w:lineRule="atLeast"/>
              <w:jc w:val="center"/>
              <w:rPr>
                <w:rFonts w:ascii="Open Sans" w:eastAsia="Times New Roman" w:hAnsi="Open Sans" w:cs="Times New Roman"/>
                <w:color w:val="000000" w:themeColor="text1"/>
                <w:sz w:val="21"/>
                <w:szCs w:val="21"/>
                <w:u w:val="single"/>
                <w:lang w:eastAsia="it-IT"/>
              </w:rPr>
            </w:pPr>
            <w:r>
              <w:rPr>
                <w:noProof/>
              </w:rPr>
              <w:drawing>
                <wp:anchor distT="0" distB="0" distL="0" distR="0" simplePos="0" relativeHeight="251662336" behindDoc="1" locked="0" layoutInCell="1" allowOverlap="1" wp14:anchorId="25F5A4A6" wp14:editId="1DFC8960">
                  <wp:simplePos x="0" y="0"/>
                  <wp:positionH relativeFrom="page">
                    <wp:posOffset>-797750</wp:posOffset>
                  </wp:positionH>
                  <wp:positionV relativeFrom="page">
                    <wp:posOffset>418948</wp:posOffset>
                  </wp:positionV>
                  <wp:extent cx="1356360" cy="297180"/>
                  <wp:effectExtent l="0" t="0" r="0" b="7620"/>
                  <wp:wrapNone/>
                  <wp:docPr id="4"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356360" cy="2971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4384" behindDoc="1" locked="0" layoutInCell="1" allowOverlap="1" wp14:anchorId="2D211C99" wp14:editId="129D2973">
                  <wp:simplePos x="0" y="0"/>
                  <wp:positionH relativeFrom="page">
                    <wp:posOffset>1528890</wp:posOffset>
                  </wp:positionH>
                  <wp:positionV relativeFrom="page">
                    <wp:posOffset>419432</wp:posOffset>
                  </wp:positionV>
                  <wp:extent cx="1280160" cy="259080"/>
                  <wp:effectExtent l="0" t="0" r="0" b="7620"/>
                  <wp:wrapNone/>
                  <wp:docPr id="1535445946" name="Immagine 15354459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280160" cy="259080"/>
                          </a:xfrm>
                          <a:prstGeom prst="rect">
                            <a:avLst/>
                          </a:prstGeom>
                        </pic:spPr>
                      </pic:pic>
                    </a:graphicData>
                  </a:graphic>
                  <wp14:sizeRelH relativeFrom="margin">
                    <wp14:pctWidth>0</wp14:pctWidth>
                  </wp14:sizeRelH>
                  <wp14:sizeRelV relativeFrom="margin">
                    <wp14:pctHeight>0</wp14:pctHeight>
                  </wp14:sizeRelV>
                </wp:anchor>
              </w:drawing>
            </w:r>
          </w:p>
        </w:tc>
      </w:tr>
    </w:tbl>
    <w:p w14:paraId="34E2FFBF" w14:textId="77777777" w:rsidR="00BE5A20" w:rsidRDefault="00BE5A20" w:rsidP="007D7B28">
      <w:pPr>
        <w:spacing w:after="0" w:line="300" w:lineRule="exact"/>
        <w:jc w:val="center"/>
        <w:rPr>
          <w:b/>
          <w:bCs/>
          <w:caps/>
          <w:spacing w:val="-4"/>
          <w:sz w:val="30"/>
          <w:szCs w:val="30"/>
        </w:rPr>
      </w:pPr>
    </w:p>
    <w:p w14:paraId="7D40BE42" w14:textId="77777777" w:rsidR="00BE5A20" w:rsidRDefault="00BE5A20" w:rsidP="007D7B28">
      <w:pPr>
        <w:spacing w:after="0" w:line="300" w:lineRule="exact"/>
        <w:jc w:val="center"/>
        <w:rPr>
          <w:b/>
          <w:bCs/>
          <w:caps/>
          <w:spacing w:val="-4"/>
          <w:sz w:val="30"/>
          <w:szCs w:val="30"/>
        </w:rPr>
      </w:pPr>
    </w:p>
    <w:p w14:paraId="3DA5807A" w14:textId="0563C80E" w:rsidR="00BE5A20" w:rsidRPr="00BE5A20" w:rsidRDefault="00BE5A20" w:rsidP="007D7B28">
      <w:pPr>
        <w:spacing w:after="0" w:line="300" w:lineRule="exact"/>
        <w:jc w:val="center"/>
        <w:rPr>
          <w:caps/>
          <w:spacing w:val="-4"/>
          <w:sz w:val="28"/>
          <w:szCs w:val="28"/>
        </w:rPr>
      </w:pPr>
      <w:r w:rsidRPr="00BE5A20">
        <w:rPr>
          <w:caps/>
          <w:spacing w:val="-4"/>
          <w:sz w:val="28"/>
          <w:szCs w:val="28"/>
        </w:rPr>
        <w:t>Comunicato stampa</w:t>
      </w:r>
    </w:p>
    <w:p w14:paraId="401266C0" w14:textId="77777777" w:rsidR="00BE5A20" w:rsidRDefault="00BE5A20" w:rsidP="007D7B28">
      <w:pPr>
        <w:spacing w:after="0" w:line="300" w:lineRule="exact"/>
        <w:jc w:val="center"/>
        <w:rPr>
          <w:b/>
          <w:bCs/>
          <w:caps/>
          <w:spacing w:val="-4"/>
          <w:sz w:val="30"/>
          <w:szCs w:val="30"/>
        </w:rPr>
      </w:pPr>
    </w:p>
    <w:p w14:paraId="69A893D9" w14:textId="0B68A84E" w:rsidR="007D7B28" w:rsidRPr="003469CB" w:rsidRDefault="007D7B28" w:rsidP="007D7B28">
      <w:pPr>
        <w:spacing w:after="0" w:line="300" w:lineRule="exact"/>
        <w:jc w:val="center"/>
        <w:rPr>
          <w:b/>
          <w:bCs/>
          <w:caps/>
          <w:sz w:val="30"/>
          <w:szCs w:val="30"/>
        </w:rPr>
      </w:pPr>
      <w:r w:rsidRPr="003469CB">
        <w:rPr>
          <w:b/>
          <w:bCs/>
          <w:caps/>
          <w:sz w:val="30"/>
          <w:szCs w:val="30"/>
        </w:rPr>
        <w:t>Inapp: “Effetto erasmus</w:t>
      </w:r>
      <w:r w:rsidR="00AE7D4D" w:rsidRPr="003469CB">
        <w:rPr>
          <w:b/>
          <w:bCs/>
          <w:caps/>
          <w:sz w:val="30"/>
          <w:szCs w:val="30"/>
        </w:rPr>
        <w:t>+</w:t>
      </w:r>
      <w:r w:rsidRPr="003469CB">
        <w:rPr>
          <w:b/>
          <w:bCs/>
          <w:caps/>
          <w:sz w:val="30"/>
          <w:szCs w:val="30"/>
        </w:rPr>
        <w:t xml:space="preserve">, </w:t>
      </w:r>
      <w:r w:rsidR="00AE7D4D" w:rsidRPr="003469CB">
        <w:rPr>
          <w:b/>
          <w:bCs/>
          <w:caps/>
          <w:sz w:val="30"/>
          <w:szCs w:val="30"/>
        </w:rPr>
        <w:t>grazie al pro</w:t>
      </w:r>
      <w:r w:rsidR="00664AB1" w:rsidRPr="003469CB">
        <w:rPr>
          <w:b/>
          <w:bCs/>
          <w:caps/>
          <w:sz w:val="30"/>
          <w:szCs w:val="30"/>
        </w:rPr>
        <w:t>gramma europeo</w:t>
      </w:r>
      <w:r w:rsidR="00AE7D4D" w:rsidRPr="003469CB">
        <w:rPr>
          <w:b/>
          <w:bCs/>
          <w:caps/>
          <w:sz w:val="30"/>
          <w:szCs w:val="30"/>
        </w:rPr>
        <w:t xml:space="preserve"> </w:t>
      </w:r>
      <w:r w:rsidRPr="003469CB">
        <w:rPr>
          <w:b/>
          <w:bCs/>
          <w:caps/>
          <w:sz w:val="30"/>
          <w:szCs w:val="30"/>
        </w:rPr>
        <w:t xml:space="preserve">4 </w:t>
      </w:r>
      <w:r w:rsidR="0037236F" w:rsidRPr="003469CB">
        <w:rPr>
          <w:b/>
          <w:bCs/>
          <w:caps/>
          <w:sz w:val="30"/>
          <w:szCs w:val="30"/>
        </w:rPr>
        <w:t>ragazzi</w:t>
      </w:r>
      <w:r w:rsidRPr="003469CB">
        <w:rPr>
          <w:b/>
          <w:bCs/>
          <w:caps/>
          <w:sz w:val="30"/>
          <w:szCs w:val="30"/>
        </w:rPr>
        <w:t xml:space="preserve"> su 10 hanno </w:t>
      </w:r>
      <w:r w:rsidR="00341926" w:rsidRPr="003469CB">
        <w:rPr>
          <w:b/>
          <w:bCs/>
          <w:caps/>
          <w:sz w:val="30"/>
          <w:szCs w:val="30"/>
        </w:rPr>
        <w:t>svolto un</w:t>
      </w:r>
      <w:r w:rsidR="0037236F" w:rsidRPr="003469CB">
        <w:rPr>
          <w:b/>
          <w:bCs/>
          <w:caps/>
          <w:sz w:val="30"/>
          <w:szCs w:val="30"/>
        </w:rPr>
        <w:t>’esperienza di</w:t>
      </w:r>
      <w:r w:rsidR="00341926" w:rsidRPr="003469CB">
        <w:rPr>
          <w:b/>
          <w:bCs/>
          <w:caps/>
          <w:sz w:val="30"/>
          <w:szCs w:val="30"/>
        </w:rPr>
        <w:t xml:space="preserve"> lavoro </w:t>
      </w:r>
      <w:r w:rsidRPr="003469CB">
        <w:rPr>
          <w:b/>
          <w:bCs/>
          <w:caps/>
          <w:sz w:val="30"/>
          <w:szCs w:val="30"/>
        </w:rPr>
        <w:t>all’estero</w:t>
      </w:r>
      <w:r w:rsidR="0087798D" w:rsidRPr="003469CB">
        <w:rPr>
          <w:b/>
          <w:bCs/>
          <w:caps/>
          <w:sz w:val="30"/>
          <w:szCs w:val="30"/>
        </w:rPr>
        <w:t xml:space="preserve"> e </w:t>
      </w:r>
      <w:r w:rsidRPr="003469CB">
        <w:rPr>
          <w:b/>
          <w:bCs/>
          <w:caps/>
          <w:sz w:val="30"/>
          <w:szCs w:val="30"/>
        </w:rPr>
        <w:t xml:space="preserve">il 35% ha trovato </w:t>
      </w:r>
      <w:r w:rsidR="00341926" w:rsidRPr="003469CB">
        <w:rPr>
          <w:b/>
          <w:bCs/>
          <w:caps/>
          <w:sz w:val="30"/>
          <w:szCs w:val="30"/>
        </w:rPr>
        <w:t>un’</w:t>
      </w:r>
      <w:r w:rsidRPr="003469CB">
        <w:rPr>
          <w:b/>
          <w:bCs/>
          <w:caps/>
          <w:sz w:val="30"/>
          <w:szCs w:val="30"/>
        </w:rPr>
        <w:t xml:space="preserve">occupazione </w:t>
      </w:r>
      <w:r w:rsidR="00664AB1" w:rsidRPr="003469CB">
        <w:rPr>
          <w:b/>
          <w:bCs/>
          <w:caps/>
          <w:sz w:val="30"/>
          <w:szCs w:val="30"/>
        </w:rPr>
        <w:t xml:space="preserve">in linea col </w:t>
      </w:r>
      <w:r w:rsidRPr="003469CB">
        <w:rPr>
          <w:b/>
          <w:bCs/>
          <w:caps/>
          <w:sz w:val="30"/>
          <w:szCs w:val="30"/>
        </w:rPr>
        <w:t>proprio profilo</w:t>
      </w:r>
      <w:r w:rsidR="000F116A">
        <w:rPr>
          <w:b/>
          <w:bCs/>
          <w:caps/>
          <w:sz w:val="30"/>
          <w:szCs w:val="30"/>
        </w:rPr>
        <w:t>”</w:t>
      </w:r>
    </w:p>
    <w:p w14:paraId="2ECEF274" w14:textId="77777777" w:rsidR="007D7B28" w:rsidRDefault="007D7B28" w:rsidP="007D7B28">
      <w:pPr>
        <w:spacing w:after="0" w:line="300" w:lineRule="exact"/>
        <w:jc w:val="center"/>
        <w:rPr>
          <w:b/>
          <w:bCs/>
          <w:caps/>
        </w:rPr>
      </w:pPr>
    </w:p>
    <w:p w14:paraId="65935AB5" w14:textId="40B3D471" w:rsidR="007D7B28" w:rsidRPr="007D7B28" w:rsidRDefault="007D7B28" w:rsidP="007D7B28">
      <w:pPr>
        <w:spacing w:after="0" w:line="300" w:lineRule="exact"/>
        <w:jc w:val="both"/>
        <w:rPr>
          <w:rFonts w:asciiTheme="majorHAnsi" w:hAnsiTheme="majorHAnsi" w:cstheme="majorHAnsi"/>
          <w:b/>
          <w:bCs/>
          <w:caps/>
          <w:sz w:val="26"/>
          <w:szCs w:val="26"/>
        </w:rPr>
      </w:pPr>
      <w:r w:rsidRPr="007D7B28">
        <w:rPr>
          <w:rFonts w:asciiTheme="majorHAnsi" w:hAnsiTheme="majorHAnsi" w:cstheme="majorHAnsi"/>
          <w:b/>
          <w:bCs/>
          <w:sz w:val="26"/>
          <w:szCs w:val="26"/>
        </w:rPr>
        <w:t>Fadda: “</w:t>
      </w:r>
      <w:r>
        <w:rPr>
          <w:rFonts w:asciiTheme="majorHAnsi" w:hAnsiTheme="majorHAnsi" w:cstheme="majorHAnsi"/>
          <w:b/>
          <w:bCs/>
          <w:sz w:val="26"/>
          <w:szCs w:val="26"/>
        </w:rPr>
        <w:t xml:space="preserve">È </w:t>
      </w:r>
      <w:r w:rsidRPr="007D7B28">
        <w:rPr>
          <w:rFonts w:asciiTheme="majorHAnsi" w:hAnsiTheme="majorHAnsi" w:cstheme="majorHAnsi"/>
          <w:b/>
          <w:bCs/>
          <w:sz w:val="26"/>
          <w:szCs w:val="26"/>
        </w:rPr>
        <w:t xml:space="preserve">La generazione </w:t>
      </w:r>
      <w:r w:rsidRPr="008D0C19">
        <w:rPr>
          <w:rFonts w:asciiTheme="majorHAnsi" w:hAnsiTheme="majorHAnsi" w:cstheme="majorHAnsi"/>
          <w:b/>
          <w:bCs/>
          <w:i/>
          <w:iCs/>
          <w:sz w:val="26"/>
          <w:szCs w:val="26"/>
        </w:rPr>
        <w:t>Erasmus-millennium</w:t>
      </w:r>
      <w:r>
        <w:rPr>
          <w:rFonts w:asciiTheme="majorHAnsi" w:hAnsiTheme="majorHAnsi" w:cstheme="majorHAnsi"/>
          <w:b/>
          <w:bCs/>
          <w:sz w:val="26"/>
          <w:szCs w:val="26"/>
        </w:rPr>
        <w:t>. U</w:t>
      </w:r>
      <w:r w:rsidRPr="007D7B28">
        <w:rPr>
          <w:rFonts w:asciiTheme="majorHAnsi" w:hAnsiTheme="majorHAnsi" w:cstheme="majorHAnsi"/>
          <w:b/>
          <w:bCs/>
          <w:sz w:val="26"/>
          <w:szCs w:val="26"/>
        </w:rPr>
        <w:t xml:space="preserve">na generazione che ha interiorizzato il valore del viaggiare in Europa come opportunità di sviluppo delle proprie competenze sociali, trasversali e professionali. L’esperienza </w:t>
      </w:r>
      <w:r>
        <w:rPr>
          <w:rFonts w:asciiTheme="majorHAnsi" w:hAnsiTheme="majorHAnsi" w:cstheme="majorHAnsi"/>
          <w:b/>
          <w:bCs/>
          <w:sz w:val="26"/>
          <w:szCs w:val="26"/>
        </w:rPr>
        <w:t xml:space="preserve">è utile </w:t>
      </w:r>
      <w:r w:rsidRPr="007D7B28">
        <w:rPr>
          <w:rFonts w:asciiTheme="majorHAnsi" w:hAnsiTheme="majorHAnsi" w:cstheme="majorHAnsi"/>
          <w:b/>
          <w:bCs/>
          <w:sz w:val="26"/>
          <w:szCs w:val="26"/>
        </w:rPr>
        <w:t>per acquisire competenze professionali specifiche, immediatamente spendibili nel mercato del lavoro</w:t>
      </w:r>
      <w:r>
        <w:rPr>
          <w:rFonts w:asciiTheme="majorHAnsi" w:hAnsiTheme="majorHAnsi" w:cstheme="majorHAnsi"/>
          <w:b/>
          <w:bCs/>
          <w:sz w:val="26"/>
          <w:szCs w:val="26"/>
        </w:rPr>
        <w:t xml:space="preserve"> e al tempo stesso </w:t>
      </w:r>
      <w:r w:rsidRPr="007D7B28">
        <w:rPr>
          <w:rFonts w:asciiTheme="majorHAnsi" w:hAnsiTheme="majorHAnsi" w:cstheme="majorHAnsi"/>
          <w:b/>
          <w:bCs/>
          <w:sz w:val="26"/>
          <w:szCs w:val="26"/>
        </w:rPr>
        <w:t xml:space="preserve">consente lo sviluppo di soft skill, come l’abilità di lavorare in gruppo, il pensiero creativo, la capacità di risolvere i problemi, la capacità di approcci internazionali e multiculturali”  </w:t>
      </w:r>
    </w:p>
    <w:p w14:paraId="1A8B97D2" w14:textId="77777777" w:rsidR="007D7B28" w:rsidRDefault="007D7B28" w:rsidP="007D7B28">
      <w:pPr>
        <w:spacing w:after="0" w:line="300" w:lineRule="exact"/>
        <w:jc w:val="both"/>
      </w:pPr>
    </w:p>
    <w:p w14:paraId="6452BBA2" w14:textId="77777777" w:rsidR="007D7B28" w:rsidRDefault="007D7B28" w:rsidP="007D7B28">
      <w:pPr>
        <w:spacing w:after="0" w:line="300" w:lineRule="exact"/>
        <w:jc w:val="both"/>
      </w:pPr>
    </w:p>
    <w:p w14:paraId="09B920A8" w14:textId="451491BF" w:rsidR="00851627" w:rsidRPr="00FE3EA4" w:rsidRDefault="007D7B28" w:rsidP="00CA31D7">
      <w:pPr>
        <w:spacing w:before="120" w:after="0" w:line="300" w:lineRule="exact"/>
        <w:jc w:val="both"/>
        <w:rPr>
          <w:spacing w:val="-2"/>
        </w:rPr>
      </w:pPr>
      <w:r w:rsidRPr="00FE3EA4">
        <w:rPr>
          <w:spacing w:val="-2"/>
        </w:rPr>
        <w:t>Roma, 24 ottobre 2023</w:t>
      </w:r>
      <w:r w:rsidR="00BA6889" w:rsidRPr="00FE3EA4">
        <w:rPr>
          <w:spacing w:val="-2"/>
        </w:rPr>
        <w:t xml:space="preserve"> -</w:t>
      </w:r>
      <w:r w:rsidRPr="00FE3EA4">
        <w:rPr>
          <w:spacing w:val="-2"/>
        </w:rPr>
        <w:t xml:space="preserve"> </w:t>
      </w:r>
      <w:r w:rsidR="00341926" w:rsidRPr="00FE3EA4">
        <w:rPr>
          <w:spacing w:val="-2"/>
        </w:rPr>
        <w:t xml:space="preserve">A </w:t>
      </w:r>
      <w:r w:rsidR="00752401" w:rsidRPr="00FE3EA4">
        <w:rPr>
          <w:spacing w:val="-2"/>
        </w:rPr>
        <w:t>circa</w:t>
      </w:r>
      <w:r w:rsidR="008D42B0" w:rsidRPr="00FE3EA4">
        <w:rPr>
          <w:spacing w:val="-2"/>
        </w:rPr>
        <w:t xml:space="preserve"> tr</w:t>
      </w:r>
      <w:r w:rsidR="0037236F" w:rsidRPr="00FE3EA4">
        <w:rPr>
          <w:spacing w:val="-2"/>
        </w:rPr>
        <w:t>e</w:t>
      </w:r>
      <w:r w:rsidR="00341926" w:rsidRPr="00FE3EA4">
        <w:rPr>
          <w:spacing w:val="-2"/>
        </w:rPr>
        <w:t xml:space="preserve"> anni dal lancio</w:t>
      </w:r>
      <w:r w:rsidR="00851627" w:rsidRPr="00FE3EA4">
        <w:rPr>
          <w:spacing w:val="-2"/>
        </w:rPr>
        <w:t xml:space="preserve"> della fase di programmazione 2021-2027</w:t>
      </w:r>
      <w:r w:rsidR="00BA6889" w:rsidRPr="00FE3EA4">
        <w:rPr>
          <w:spacing w:val="-2"/>
        </w:rPr>
        <w:t>,</w:t>
      </w:r>
      <w:r w:rsidRPr="00FE3EA4">
        <w:rPr>
          <w:spacing w:val="-2"/>
        </w:rPr>
        <w:t xml:space="preserve"> </w:t>
      </w:r>
      <w:r w:rsidR="00026320" w:rsidRPr="00FE3EA4">
        <w:rPr>
          <w:spacing w:val="-2"/>
        </w:rPr>
        <w:t xml:space="preserve">il programma Erasmus+ </w:t>
      </w:r>
      <w:r w:rsidR="00BA6889" w:rsidRPr="00FE3EA4">
        <w:rPr>
          <w:spacing w:val="-2"/>
        </w:rPr>
        <w:t>conferma i successi della precedente edizione</w:t>
      </w:r>
      <w:r w:rsidRPr="00FE3EA4">
        <w:rPr>
          <w:spacing w:val="-2"/>
        </w:rPr>
        <w:t xml:space="preserve">. </w:t>
      </w:r>
      <w:r w:rsidR="00851627" w:rsidRPr="00FE3EA4">
        <w:rPr>
          <w:spacing w:val="-2"/>
        </w:rPr>
        <w:t xml:space="preserve">Da un’indagine condotta dall’Agenzia Nazionale Erasmus+ INAPP sui partecipanti alle esperienze di mobilità della </w:t>
      </w:r>
      <w:r w:rsidR="001402CD" w:rsidRPr="00FE3EA4">
        <w:rPr>
          <w:spacing w:val="-2"/>
        </w:rPr>
        <w:t>precedente</w:t>
      </w:r>
      <w:r w:rsidR="00851627" w:rsidRPr="00FE3EA4">
        <w:rPr>
          <w:spacing w:val="-2"/>
        </w:rPr>
        <w:t xml:space="preserve"> programmazione, è emerso che </w:t>
      </w:r>
      <w:r w:rsidR="00026320" w:rsidRPr="00FE3EA4">
        <w:rPr>
          <w:spacing w:val="-2"/>
        </w:rPr>
        <w:t>i</w:t>
      </w:r>
      <w:r w:rsidRPr="00FE3EA4">
        <w:rPr>
          <w:spacing w:val="-2"/>
        </w:rPr>
        <w:t>l 40% dei giovani</w:t>
      </w:r>
      <w:r w:rsidR="0037236F" w:rsidRPr="00FE3EA4">
        <w:rPr>
          <w:spacing w:val="-2"/>
        </w:rPr>
        <w:t xml:space="preserve"> che hanno partecipato </w:t>
      </w:r>
      <w:r w:rsidR="00851627" w:rsidRPr="00FE3EA4">
        <w:rPr>
          <w:spacing w:val="-2"/>
        </w:rPr>
        <w:t xml:space="preserve">a tali esperienze </w:t>
      </w:r>
      <w:r w:rsidRPr="00FE3EA4">
        <w:rPr>
          <w:spacing w:val="-2"/>
        </w:rPr>
        <w:t>ha avuto l’opportunità di lavorare all’estero, il 57% si è convinto grazie all’esperienza a proseguire gli studi e il 35% ha trovato un lavoro adeguato al proprio profilo.</w:t>
      </w:r>
      <w:r w:rsidR="00341926" w:rsidRPr="00FE3EA4">
        <w:rPr>
          <w:spacing w:val="-2"/>
        </w:rPr>
        <w:t xml:space="preserve"> </w:t>
      </w:r>
    </w:p>
    <w:p w14:paraId="58A70820" w14:textId="3FC8050D" w:rsidR="007D7B28" w:rsidRDefault="00851627" w:rsidP="00CA31D7">
      <w:pPr>
        <w:spacing w:before="120" w:after="0" w:line="300" w:lineRule="exact"/>
        <w:jc w:val="both"/>
      </w:pPr>
      <w:r>
        <w:t>Volgendo lo sguardo all’attuale fase di programmazione, sono già oltre 19</w:t>
      </w:r>
      <w:r w:rsidR="005A6DCB">
        <w:t>mila</w:t>
      </w:r>
      <w:r>
        <w:t xml:space="preserve"> i </w:t>
      </w:r>
      <w:r w:rsidR="005A1F32">
        <w:t>partecipanti</w:t>
      </w:r>
      <w:r>
        <w:t xml:space="preserve"> alle esperienze di mobilità già realizzate dal 2021 ad oggi, </w:t>
      </w:r>
      <w:r w:rsidR="0037236F" w:rsidRPr="00BA6889">
        <w:t xml:space="preserve">perlopiù </w:t>
      </w:r>
      <w:r>
        <w:t xml:space="preserve">ragazzi </w:t>
      </w:r>
      <w:r w:rsidR="00026320" w:rsidRPr="00BA6889">
        <w:t xml:space="preserve">tra i </w:t>
      </w:r>
      <w:r w:rsidR="0037236F" w:rsidRPr="00BA6889">
        <w:t xml:space="preserve">15-19 anni, provenienti da tutte le regioni italiane, in particolare da </w:t>
      </w:r>
      <w:r w:rsidRPr="00BA6889">
        <w:t>Emilia-Romagna</w:t>
      </w:r>
      <w:r w:rsidR="0037236F" w:rsidRPr="00BA6889">
        <w:t>, Veneto e Lombardia.</w:t>
      </w:r>
      <w:r>
        <w:t xml:space="preserve"> </w:t>
      </w:r>
      <w:r w:rsidR="008D42B0">
        <w:t xml:space="preserve">E il loro numero sembra destinato ad aumentare, visto che </w:t>
      </w:r>
      <w:r w:rsidR="005A1F32">
        <w:t xml:space="preserve">nei progetti finanziati dal 2021 al 2023 </w:t>
      </w:r>
      <w:r w:rsidR="008D42B0">
        <w:t xml:space="preserve">il numero </w:t>
      </w:r>
      <w:r w:rsidR="005A1F32">
        <w:t xml:space="preserve">complessivo </w:t>
      </w:r>
      <w:r w:rsidR="008D42B0">
        <w:t xml:space="preserve">dei partecipanti previsti è </w:t>
      </w:r>
      <w:r w:rsidR="005A1F32">
        <w:t>di circa 34</w:t>
      </w:r>
      <w:r w:rsidR="005A6DCB">
        <w:t>mila</w:t>
      </w:r>
      <w:r w:rsidR="008D42B0">
        <w:t xml:space="preserve">. </w:t>
      </w:r>
      <w:r w:rsidR="0037236F">
        <w:t xml:space="preserve"> </w:t>
      </w:r>
    </w:p>
    <w:p w14:paraId="0E118DDD" w14:textId="1695283A" w:rsidR="0071777F" w:rsidRDefault="0037236F" w:rsidP="00CA31D7">
      <w:pPr>
        <w:spacing w:before="120" w:after="0" w:line="300" w:lineRule="exact"/>
        <w:jc w:val="both"/>
      </w:pPr>
      <w:r>
        <w:t xml:space="preserve">Le </w:t>
      </w:r>
      <w:r w:rsidR="007D7B28">
        <w:t>l</w:t>
      </w:r>
      <w:r>
        <w:t>oro</w:t>
      </w:r>
      <w:r w:rsidR="007D7B28">
        <w:t xml:space="preserve"> destinazioni più ambite sono Spagna, Irlanda</w:t>
      </w:r>
      <w:r w:rsidR="00CE2104" w:rsidRPr="00CE2104">
        <w:t xml:space="preserve"> </w:t>
      </w:r>
      <w:r w:rsidR="00CE2104">
        <w:t>e Malta</w:t>
      </w:r>
      <w:r w:rsidR="007D7B28">
        <w:t>, seguite da Francia</w:t>
      </w:r>
      <w:r w:rsidR="00CE2104" w:rsidRPr="00CE2104">
        <w:t xml:space="preserve"> </w:t>
      </w:r>
      <w:r w:rsidR="00CE2104">
        <w:t>e Germania</w:t>
      </w:r>
      <w:r w:rsidR="007D7B28">
        <w:t>.</w:t>
      </w:r>
      <w:r w:rsidR="00CA31D7">
        <w:t xml:space="preserve"> </w:t>
      </w:r>
      <w:r w:rsidR="00026320">
        <w:t>Mentre c</w:t>
      </w:r>
      <w:r w:rsidR="007D7B28">
        <w:t>ome Paese ospitante l</w:t>
      </w:r>
      <w:r w:rsidR="0071777F">
        <w:t xml:space="preserve">’Italia </w:t>
      </w:r>
      <w:r w:rsidR="007D7B28">
        <w:t xml:space="preserve">è </w:t>
      </w:r>
      <w:r w:rsidR="00CE2104">
        <w:t xml:space="preserve">la seconda </w:t>
      </w:r>
      <w:r w:rsidR="0071777F">
        <w:t>destinazion</w:t>
      </w:r>
      <w:r w:rsidR="00CE2104">
        <w:t>e</w:t>
      </w:r>
      <w:r w:rsidR="0071777F">
        <w:t xml:space="preserve"> più </w:t>
      </w:r>
      <w:r w:rsidR="00CE2104">
        <w:t>apprezzata delle esperienze di mobilità Erasmus+ del settore istruzione e formazione professionale, dopo la Spagna</w:t>
      </w:r>
      <w:r w:rsidR="000F116A">
        <w:t xml:space="preserve"> e</w:t>
      </w:r>
      <w:r w:rsidR="00CE2104">
        <w:t xml:space="preserve"> prima di Irlanda e Portogallo</w:t>
      </w:r>
      <w:r w:rsidR="0071777F">
        <w:t>.</w:t>
      </w:r>
      <w:r w:rsidR="007D7B28">
        <w:t xml:space="preserve"> </w:t>
      </w:r>
    </w:p>
    <w:p w14:paraId="79DA58DB" w14:textId="60296A29" w:rsidR="007D7B28" w:rsidRDefault="000F116A" w:rsidP="00CA31D7">
      <w:pPr>
        <w:spacing w:before="120" w:after="0" w:line="300" w:lineRule="exact"/>
        <w:jc w:val="both"/>
      </w:pPr>
      <w:r>
        <w:t>Alcuni di questi</w:t>
      </w:r>
      <w:r w:rsidR="007D7B28">
        <w:t xml:space="preserve"> dati </w:t>
      </w:r>
      <w:r>
        <w:t xml:space="preserve">saranno presentati </w:t>
      </w:r>
      <w:r w:rsidR="007D7B28">
        <w:t>oggi nel corso dell’evento “</w:t>
      </w:r>
      <w:r w:rsidR="0006148C" w:rsidRPr="0006148C">
        <w:t>Il Programma Erasmus+ 2021-2027 verso la valutazione di medio periodo</w:t>
      </w:r>
      <w:r w:rsidR="00664AB1">
        <w:t xml:space="preserve">”, </w:t>
      </w:r>
      <w:r w:rsidR="00753D2C">
        <w:t xml:space="preserve">evento </w:t>
      </w:r>
      <w:r w:rsidR="007D7B28">
        <w:t xml:space="preserve">di punta della </w:t>
      </w:r>
      <w:r w:rsidR="0006148C">
        <w:t>settima</w:t>
      </w:r>
      <w:r w:rsidR="0006148C" w:rsidRPr="0006148C">
        <w:t xml:space="preserve"> edizione della Settimana </w:t>
      </w:r>
      <w:r w:rsidR="0006148C">
        <w:t>e</w:t>
      </w:r>
      <w:r w:rsidR="0006148C" w:rsidRPr="0006148C">
        <w:t xml:space="preserve">uropea delle </w:t>
      </w:r>
      <w:r w:rsidR="0006148C">
        <w:t>c</w:t>
      </w:r>
      <w:r w:rsidR="0006148C" w:rsidRPr="0006148C">
        <w:t xml:space="preserve">ompetenze </w:t>
      </w:r>
      <w:r w:rsidR="0006148C">
        <w:t>p</w:t>
      </w:r>
      <w:r w:rsidR="0006148C" w:rsidRPr="0006148C">
        <w:t xml:space="preserve">rofessionali, </w:t>
      </w:r>
      <w:r w:rsidR="00752401">
        <w:t>l’</w:t>
      </w:r>
      <w:r w:rsidR="0006148C" w:rsidRPr="0006148C">
        <w:t>iniziativa promossa dalla Commissione europea</w:t>
      </w:r>
      <w:r w:rsidR="00BE5A20">
        <w:t xml:space="preserve"> e</w:t>
      </w:r>
      <w:r w:rsidR="0006148C">
        <w:t xml:space="preserve"> </w:t>
      </w:r>
      <w:r w:rsidR="00BE5A20">
        <w:t>in corso dal 23 al 27 ottobre</w:t>
      </w:r>
      <w:r w:rsidR="007D7B28">
        <w:t xml:space="preserve">. </w:t>
      </w:r>
    </w:p>
    <w:p w14:paraId="42E9BCF6" w14:textId="7391CB9A" w:rsidR="008A545C" w:rsidRDefault="007D7B28" w:rsidP="00CA31D7">
      <w:pPr>
        <w:spacing w:before="120" w:after="0" w:line="300" w:lineRule="exact"/>
        <w:jc w:val="both"/>
      </w:pPr>
      <w:r>
        <w:t xml:space="preserve">“Dai dati emerge sempre più </w:t>
      </w:r>
      <w:r w:rsidR="00293453" w:rsidRPr="00EF23D4">
        <w:t xml:space="preserve">il </w:t>
      </w:r>
      <w:r w:rsidR="00293453" w:rsidRPr="007D7B28">
        <w:t xml:space="preserve">profilo di una </w:t>
      </w:r>
      <w:r w:rsidR="00293453" w:rsidRPr="007D7B28">
        <w:rPr>
          <w:i/>
          <w:iCs/>
        </w:rPr>
        <w:t>generazione Erasmus-millennium</w:t>
      </w:r>
      <w:r w:rsidR="00293453" w:rsidRPr="00EF23D4">
        <w:t xml:space="preserve"> </w:t>
      </w:r>
      <w:r>
        <w:t xml:space="preserve">– ha dichiarato il prof. Sebastiano Fadda, presidente dell’Inapp – Una generazione </w:t>
      </w:r>
      <w:r w:rsidR="00293453" w:rsidRPr="00753D2C">
        <w:t>che ha interiorizzato il valore del viaggiare in Europa come opportunità di sviluppo delle proprie competenze sociali, trasversali e professionali</w:t>
      </w:r>
      <w:r w:rsidRPr="00753D2C">
        <w:t>. L’esperienza, infatti, da un lato si rivela efficace per acquisire competenze professionali specifiche, immediatamente spendibili nel mercato del lavoro. Dall’altro consente anche lo sviluppo di soft skill, come l’abilità di lavorare in gruppo, il pensiero creativo</w:t>
      </w:r>
      <w:r w:rsidRPr="00E9658F">
        <w:t>, la capacità di risolvere i problemi, la capacità di approcci internazionali e multiculturali, caratteristiche queste sempre più spesso ricercate dai datori di lavoro per far fronte ad un’economia globalizzata e in rapido mutamento</w:t>
      </w:r>
      <w:r>
        <w:t xml:space="preserve">”. </w:t>
      </w:r>
      <w:r w:rsidR="00293453">
        <w:t xml:space="preserve"> </w:t>
      </w:r>
    </w:p>
    <w:p w14:paraId="33A262DD" w14:textId="65FE9B88" w:rsidR="00752401" w:rsidRPr="00F34045" w:rsidRDefault="000F116A" w:rsidP="00752401">
      <w:pPr>
        <w:spacing w:before="120" w:after="0" w:line="300" w:lineRule="exact"/>
        <w:jc w:val="both"/>
        <w:rPr>
          <w:spacing w:val="-2"/>
        </w:rPr>
      </w:pPr>
      <w:r>
        <w:lastRenderedPageBreak/>
        <w:t xml:space="preserve">Dall’indagine condotta dall’Agenzia Nazionale Erasmus+ INAPP sui partecipanti alle esperienze di mobilità della </w:t>
      </w:r>
      <w:r w:rsidR="007E33A2">
        <w:t>precedente programmazione</w:t>
      </w:r>
      <w:r>
        <w:t xml:space="preserve"> è inoltre emerso che tali </w:t>
      </w:r>
      <w:r w:rsidR="00CA31D7" w:rsidRPr="00F34045">
        <w:rPr>
          <w:spacing w:val="-2"/>
        </w:rPr>
        <w:t>esperienz</w:t>
      </w:r>
      <w:r>
        <w:rPr>
          <w:spacing w:val="-2"/>
        </w:rPr>
        <w:t>e</w:t>
      </w:r>
      <w:r w:rsidR="003A435D">
        <w:rPr>
          <w:spacing w:val="-2"/>
        </w:rPr>
        <w:t xml:space="preserve"> </w:t>
      </w:r>
      <w:r>
        <w:rPr>
          <w:spacing w:val="-2"/>
        </w:rPr>
        <w:t>sono</w:t>
      </w:r>
      <w:r w:rsidR="00CA31D7" w:rsidRPr="00F34045">
        <w:rPr>
          <w:spacing w:val="-2"/>
        </w:rPr>
        <w:t xml:space="preserve"> </w:t>
      </w:r>
      <w:r w:rsidRPr="00F34045">
        <w:rPr>
          <w:spacing w:val="-2"/>
        </w:rPr>
        <w:t>stat</w:t>
      </w:r>
      <w:r>
        <w:rPr>
          <w:spacing w:val="-2"/>
        </w:rPr>
        <w:t>e</w:t>
      </w:r>
      <w:r w:rsidRPr="00F34045">
        <w:rPr>
          <w:spacing w:val="-2"/>
        </w:rPr>
        <w:t xml:space="preserve"> </w:t>
      </w:r>
      <w:r w:rsidR="00CA31D7" w:rsidRPr="00F34045">
        <w:rPr>
          <w:spacing w:val="-2"/>
        </w:rPr>
        <w:t xml:space="preserve">molto </w:t>
      </w:r>
      <w:r w:rsidRPr="00F34045">
        <w:rPr>
          <w:spacing w:val="-2"/>
        </w:rPr>
        <w:t>apprezzat</w:t>
      </w:r>
      <w:r>
        <w:rPr>
          <w:spacing w:val="-2"/>
        </w:rPr>
        <w:t>e</w:t>
      </w:r>
      <w:r w:rsidRPr="00F34045">
        <w:rPr>
          <w:spacing w:val="-2"/>
        </w:rPr>
        <w:t xml:space="preserve"> </w:t>
      </w:r>
      <w:r w:rsidR="00CA31D7" w:rsidRPr="00F34045">
        <w:rPr>
          <w:spacing w:val="-2"/>
        </w:rPr>
        <w:t xml:space="preserve">dai </w:t>
      </w:r>
      <w:r w:rsidR="00293453" w:rsidRPr="00F34045">
        <w:rPr>
          <w:spacing w:val="-2"/>
        </w:rPr>
        <w:t>partecipanti</w:t>
      </w:r>
      <w:r w:rsidR="00CA31D7" w:rsidRPr="00F34045">
        <w:rPr>
          <w:spacing w:val="-2"/>
        </w:rPr>
        <w:t>:</w:t>
      </w:r>
      <w:r w:rsidR="007D7B28" w:rsidRPr="00F34045">
        <w:rPr>
          <w:spacing w:val="-2"/>
        </w:rPr>
        <w:t xml:space="preserve"> </w:t>
      </w:r>
      <w:r w:rsidR="00293453" w:rsidRPr="00F34045">
        <w:rPr>
          <w:spacing w:val="-2"/>
        </w:rPr>
        <w:t>l’8</w:t>
      </w:r>
      <w:r w:rsidR="007D7B28" w:rsidRPr="00F34045">
        <w:rPr>
          <w:spacing w:val="-2"/>
        </w:rPr>
        <w:t>3</w:t>
      </w:r>
      <w:r w:rsidR="00293453" w:rsidRPr="00F34045">
        <w:rPr>
          <w:spacing w:val="-2"/>
        </w:rPr>
        <w:t xml:space="preserve">% </w:t>
      </w:r>
      <w:r>
        <w:rPr>
          <w:spacing w:val="-2"/>
        </w:rPr>
        <w:t xml:space="preserve">ha </w:t>
      </w:r>
      <w:r w:rsidR="00293453" w:rsidRPr="00F34045">
        <w:rPr>
          <w:spacing w:val="-2"/>
        </w:rPr>
        <w:t>dichiara</w:t>
      </w:r>
      <w:r>
        <w:rPr>
          <w:spacing w:val="-2"/>
        </w:rPr>
        <w:t>to</w:t>
      </w:r>
      <w:r w:rsidR="00293453" w:rsidRPr="00F34045">
        <w:rPr>
          <w:spacing w:val="-2"/>
        </w:rPr>
        <w:t xml:space="preserve"> di aver ottenuto notevoli benefici e </w:t>
      </w:r>
      <w:r w:rsidR="00664AB1" w:rsidRPr="00F34045">
        <w:rPr>
          <w:spacing w:val="-2"/>
        </w:rPr>
        <w:t xml:space="preserve">praticamente tutti (98%) </w:t>
      </w:r>
      <w:r w:rsidR="00293453" w:rsidRPr="00F34045">
        <w:rPr>
          <w:spacing w:val="-2"/>
        </w:rPr>
        <w:t>la consiglierebbe</w:t>
      </w:r>
      <w:r w:rsidR="00CA31D7" w:rsidRPr="00F34045">
        <w:rPr>
          <w:spacing w:val="-2"/>
        </w:rPr>
        <w:t>ro</w:t>
      </w:r>
      <w:r w:rsidR="00293453" w:rsidRPr="00F34045">
        <w:rPr>
          <w:spacing w:val="-2"/>
        </w:rPr>
        <w:t xml:space="preserve"> ad un amico</w:t>
      </w:r>
      <w:r w:rsidR="008D031C" w:rsidRPr="00F34045">
        <w:rPr>
          <w:spacing w:val="-2"/>
        </w:rPr>
        <w:t>.</w:t>
      </w:r>
      <w:r w:rsidR="00CA31D7" w:rsidRPr="00F34045">
        <w:rPr>
          <w:spacing w:val="-2"/>
        </w:rPr>
        <w:t xml:space="preserve"> </w:t>
      </w:r>
      <w:r w:rsidR="007D7B28" w:rsidRPr="00F34045">
        <w:rPr>
          <w:spacing w:val="-2"/>
        </w:rPr>
        <w:t xml:space="preserve">Ed era esattamente quanto si attendevano: </w:t>
      </w:r>
      <w:r w:rsidR="008A545C" w:rsidRPr="00F34045">
        <w:rPr>
          <w:spacing w:val="-2"/>
        </w:rPr>
        <w:t>le aspettative pre-partenza</w:t>
      </w:r>
      <w:r w:rsidR="007D7B28" w:rsidRPr="00F34045">
        <w:rPr>
          <w:spacing w:val="-2"/>
        </w:rPr>
        <w:t xml:space="preserve"> sono state soddis</w:t>
      </w:r>
      <w:r>
        <w:rPr>
          <w:spacing w:val="-2"/>
        </w:rPr>
        <w:t>f</w:t>
      </w:r>
      <w:r w:rsidR="007D7B28" w:rsidRPr="00F34045">
        <w:rPr>
          <w:spacing w:val="-2"/>
        </w:rPr>
        <w:t xml:space="preserve">atte </w:t>
      </w:r>
      <w:r w:rsidR="008A545C" w:rsidRPr="00F34045">
        <w:rPr>
          <w:spacing w:val="-2"/>
        </w:rPr>
        <w:t>per il 9</w:t>
      </w:r>
      <w:r w:rsidR="00753D2C" w:rsidRPr="00F34045">
        <w:rPr>
          <w:spacing w:val="-2"/>
        </w:rPr>
        <w:t>3</w:t>
      </w:r>
      <w:r w:rsidR="008A545C" w:rsidRPr="00F34045">
        <w:rPr>
          <w:spacing w:val="-2"/>
        </w:rPr>
        <w:t xml:space="preserve">% dei partecipanti </w:t>
      </w:r>
      <w:r w:rsidR="00293453" w:rsidRPr="00F34045">
        <w:rPr>
          <w:spacing w:val="-2"/>
        </w:rPr>
        <w:t>(“molto” per il 47% e “abbastanza” per il 4</w:t>
      </w:r>
      <w:r w:rsidR="00753D2C" w:rsidRPr="00F34045">
        <w:rPr>
          <w:spacing w:val="-2"/>
        </w:rPr>
        <w:t>6</w:t>
      </w:r>
      <w:r w:rsidR="00293453" w:rsidRPr="00F34045">
        <w:rPr>
          <w:spacing w:val="-2"/>
        </w:rPr>
        <w:t>%)</w:t>
      </w:r>
      <w:r w:rsidR="007D7B28" w:rsidRPr="00F34045">
        <w:rPr>
          <w:spacing w:val="-2"/>
        </w:rPr>
        <w:t xml:space="preserve">. </w:t>
      </w:r>
      <w:r w:rsidR="00CA31D7" w:rsidRPr="00F34045">
        <w:rPr>
          <w:spacing w:val="-2"/>
        </w:rPr>
        <w:t xml:space="preserve">Chi ha realizzato un </w:t>
      </w:r>
      <w:r>
        <w:rPr>
          <w:spacing w:val="-2"/>
        </w:rPr>
        <w:t>tirocinio</w:t>
      </w:r>
      <w:r w:rsidRPr="00F34045">
        <w:rPr>
          <w:spacing w:val="-2"/>
        </w:rPr>
        <w:t xml:space="preserve"> </w:t>
      </w:r>
      <w:r w:rsidR="00CA31D7" w:rsidRPr="00F34045">
        <w:rPr>
          <w:spacing w:val="-2"/>
        </w:rPr>
        <w:t xml:space="preserve">più lungo (2-6 mesi) ha percepito un </w:t>
      </w:r>
      <w:r w:rsidR="00664AB1" w:rsidRPr="00F34045">
        <w:rPr>
          <w:spacing w:val="-2"/>
        </w:rPr>
        <w:t>effett</w:t>
      </w:r>
      <w:r w:rsidR="00CA31D7" w:rsidRPr="00F34045">
        <w:rPr>
          <w:spacing w:val="-2"/>
        </w:rPr>
        <w:t>o</w:t>
      </w:r>
      <w:r w:rsidR="00664AB1" w:rsidRPr="00F34045">
        <w:rPr>
          <w:spacing w:val="-2"/>
        </w:rPr>
        <w:t xml:space="preserve"> </w:t>
      </w:r>
      <w:r w:rsidR="00CA31D7" w:rsidRPr="00F34045">
        <w:rPr>
          <w:spacing w:val="-2"/>
        </w:rPr>
        <w:t xml:space="preserve">maggiore </w:t>
      </w:r>
      <w:r w:rsidR="00664AB1" w:rsidRPr="00F34045">
        <w:rPr>
          <w:spacing w:val="-2"/>
        </w:rPr>
        <w:t xml:space="preserve">sull’occupabilità (in termini di sviluppo di competenze professionali specifiche e linguistiche e di inserimento nel mondo del lavoro) rispetto a chi ha </w:t>
      </w:r>
      <w:r w:rsidR="00CA31D7" w:rsidRPr="00F34045">
        <w:rPr>
          <w:spacing w:val="-2"/>
        </w:rPr>
        <w:t xml:space="preserve">effettuato </w:t>
      </w:r>
      <w:r>
        <w:rPr>
          <w:spacing w:val="-2"/>
        </w:rPr>
        <w:t>un’esperienza</w:t>
      </w:r>
      <w:r w:rsidR="00CA31D7" w:rsidRPr="00F34045">
        <w:rPr>
          <w:spacing w:val="-2"/>
        </w:rPr>
        <w:t xml:space="preserve"> </w:t>
      </w:r>
      <w:r w:rsidR="00664AB1" w:rsidRPr="00F34045">
        <w:rPr>
          <w:spacing w:val="-2"/>
        </w:rPr>
        <w:t xml:space="preserve">di breve durata (2 settimane - 2 mesi). </w:t>
      </w:r>
    </w:p>
    <w:p w14:paraId="245BF1F8" w14:textId="4F2FE177" w:rsidR="00752401" w:rsidRPr="00F34045" w:rsidRDefault="00752401" w:rsidP="00752401">
      <w:pPr>
        <w:spacing w:before="120" w:after="0" w:line="300" w:lineRule="exact"/>
        <w:jc w:val="both"/>
        <w:rPr>
          <w:spacing w:val="-4"/>
        </w:rPr>
      </w:pPr>
      <w:r w:rsidRPr="00F34045">
        <w:rPr>
          <w:spacing w:val="-4"/>
        </w:rPr>
        <w:t xml:space="preserve">È importante sottolineare che per il 67% dei ragazzi che hanno </w:t>
      </w:r>
      <w:r w:rsidR="000F116A">
        <w:rPr>
          <w:spacing w:val="-4"/>
        </w:rPr>
        <w:t>partecipato</w:t>
      </w:r>
      <w:r w:rsidR="000F116A" w:rsidRPr="00F34045">
        <w:rPr>
          <w:spacing w:val="-4"/>
        </w:rPr>
        <w:t xml:space="preserve"> </w:t>
      </w:r>
      <w:r w:rsidRPr="00F34045">
        <w:rPr>
          <w:spacing w:val="-4"/>
        </w:rPr>
        <w:t xml:space="preserve">all’indagine, la mobilità Erasmus non </w:t>
      </w:r>
      <w:r w:rsidR="00F34045" w:rsidRPr="00F34045">
        <w:rPr>
          <w:spacing w:val="-4"/>
        </w:rPr>
        <w:t>rappresentava</w:t>
      </w:r>
      <w:r w:rsidRPr="00F34045">
        <w:rPr>
          <w:spacing w:val="-4"/>
        </w:rPr>
        <w:t xml:space="preserve"> la prima esperienza di viaggio, poiché erano già andati all’estero per motivi di studio, lavoro, svago. </w:t>
      </w:r>
    </w:p>
    <w:p w14:paraId="24A45893" w14:textId="4D680004" w:rsidR="00293453" w:rsidRPr="007D7B28" w:rsidRDefault="00F34045" w:rsidP="00CA31D7">
      <w:pPr>
        <w:spacing w:before="120" w:after="0" w:line="300" w:lineRule="exact"/>
        <w:jc w:val="both"/>
      </w:pPr>
      <w:r>
        <w:t>I</w:t>
      </w:r>
      <w:r w:rsidR="00E21019" w:rsidRPr="007D7B28">
        <w:t xml:space="preserve">n relazione all’esperienza di </w:t>
      </w:r>
      <w:r w:rsidR="00293453" w:rsidRPr="007D7B28">
        <w:t xml:space="preserve">mobilità che ha coinvolto lo staff, i rispondenti </w:t>
      </w:r>
      <w:r w:rsidR="000F116A">
        <w:t xml:space="preserve">hanno </w:t>
      </w:r>
      <w:r w:rsidR="00293453" w:rsidRPr="007D7B28">
        <w:t>afferma</w:t>
      </w:r>
      <w:r w:rsidR="000F116A">
        <w:t>t</w:t>
      </w:r>
      <w:r w:rsidR="00293453" w:rsidRPr="007D7B28">
        <w:t>o di avere avuto un evidente beneficio in termini di miglioramento delle proprie competenze, incrementando in modo sostanziale</w:t>
      </w:r>
      <w:r w:rsidR="007D7B28" w:rsidRPr="007D7B28">
        <w:t xml:space="preserve"> </w:t>
      </w:r>
      <w:r w:rsidR="00293453" w:rsidRPr="007D7B28">
        <w:t xml:space="preserve">le competenze comunicative e relazionali </w:t>
      </w:r>
      <w:r w:rsidR="007D7B28" w:rsidRPr="007D7B28">
        <w:t>(</w:t>
      </w:r>
      <w:r w:rsidR="00293453" w:rsidRPr="007D7B28">
        <w:t>90%</w:t>
      </w:r>
      <w:r w:rsidR="007D7B28" w:rsidRPr="007D7B28">
        <w:t>)</w:t>
      </w:r>
      <w:r w:rsidR="00293453" w:rsidRPr="007D7B28">
        <w:t>,</w:t>
      </w:r>
      <w:r w:rsidR="007D7B28" w:rsidRPr="007D7B28">
        <w:t xml:space="preserve"> </w:t>
      </w:r>
      <w:r w:rsidR="00293453" w:rsidRPr="007D7B28">
        <w:t xml:space="preserve">le competenze organizzative e gestionali </w:t>
      </w:r>
      <w:r w:rsidR="007D7B28" w:rsidRPr="007D7B28">
        <w:t>(</w:t>
      </w:r>
      <w:r w:rsidR="00293453" w:rsidRPr="007D7B28">
        <w:t>80%</w:t>
      </w:r>
      <w:r w:rsidR="007D7B28" w:rsidRPr="007D7B28">
        <w:t>)</w:t>
      </w:r>
      <w:r w:rsidR="00293453" w:rsidRPr="007D7B28">
        <w:t xml:space="preserve"> e</w:t>
      </w:r>
      <w:r w:rsidR="007D7B28" w:rsidRPr="007D7B28">
        <w:t xml:space="preserve"> </w:t>
      </w:r>
      <w:r w:rsidR="00293453" w:rsidRPr="007D7B28">
        <w:t>le competenze tecnico-professionali</w:t>
      </w:r>
      <w:r w:rsidR="008D031C" w:rsidRPr="007D7B28">
        <w:t xml:space="preserve"> </w:t>
      </w:r>
      <w:r w:rsidR="007D7B28" w:rsidRPr="007D7B28">
        <w:t>(</w:t>
      </w:r>
      <w:r w:rsidR="00293453" w:rsidRPr="007D7B28">
        <w:t>78%</w:t>
      </w:r>
      <w:r w:rsidR="007D7B28" w:rsidRPr="007D7B28">
        <w:t>)</w:t>
      </w:r>
      <w:r w:rsidR="00293453" w:rsidRPr="007D7B28">
        <w:t xml:space="preserve">. </w:t>
      </w:r>
    </w:p>
    <w:p w14:paraId="71D3B77B" w14:textId="3147C625" w:rsidR="00F34045" w:rsidRDefault="007D7B28" w:rsidP="00CA31D7">
      <w:pPr>
        <w:spacing w:before="120" w:after="0" w:line="300" w:lineRule="exact"/>
        <w:jc w:val="both"/>
      </w:pPr>
      <w:r w:rsidRPr="007D7B28">
        <w:t>“</w:t>
      </w:r>
      <w:r w:rsidR="00F34045">
        <w:t xml:space="preserve">È bene ricordare che </w:t>
      </w:r>
      <w:r w:rsidR="004C6C8F" w:rsidRPr="007D7B28">
        <w:t>Erasmus+ non è solo mobilità</w:t>
      </w:r>
      <w:r w:rsidR="00ED2CDC">
        <w:t xml:space="preserve"> </w:t>
      </w:r>
      <w:r w:rsidRPr="007D7B28">
        <w:t>– ha precisato Fadda - U</w:t>
      </w:r>
      <w:r w:rsidR="004C6C8F" w:rsidRPr="007D7B28">
        <w:t>na parte dei fondi destinati all’Italia viene impegnata per i</w:t>
      </w:r>
      <w:r w:rsidR="00AA1DF3" w:rsidRPr="007D7B28">
        <w:t>l finanziamento dei</w:t>
      </w:r>
      <w:r w:rsidR="004C6C8F" w:rsidRPr="007D7B28">
        <w:t xml:space="preserve"> progetti di </w:t>
      </w:r>
      <w:r w:rsidR="00FD5E28">
        <w:t xml:space="preserve">partenariati per la </w:t>
      </w:r>
      <w:r w:rsidR="004C6C8F" w:rsidRPr="007D7B28">
        <w:t>cooperazione</w:t>
      </w:r>
      <w:r w:rsidR="00F140A6">
        <w:t xml:space="preserve"> transnazionale</w:t>
      </w:r>
      <w:r w:rsidR="004C6C8F" w:rsidRPr="007D7B28">
        <w:t xml:space="preserve">, </w:t>
      </w:r>
      <w:r w:rsidR="006723BD" w:rsidRPr="007D7B28">
        <w:t>finalizzati ad</w:t>
      </w:r>
      <w:r w:rsidR="00AA1DF3" w:rsidRPr="007D7B28">
        <w:t xml:space="preserve"> avere ricadute positive e durature sulle organizzazioni partecipanti, sui sistemi politici nel cui ambito tali azioni si svolgono, come pure sulle organizzazioni e sulle persone direttamente o indirettamente coinvolte nelle attività organizzate, attraverso lo sviluppo, il trasferimento e/o l’attuazione di pratiche innovative a livello organizzativo, locale, regionale, nazionale o europeo</w:t>
      </w:r>
      <w:r w:rsidR="00F34045">
        <w:t>”</w:t>
      </w:r>
      <w:r w:rsidR="00AA1DF3" w:rsidRPr="007D7B28">
        <w:t>.</w:t>
      </w:r>
      <w:r w:rsidRPr="007D7B28">
        <w:t xml:space="preserve"> </w:t>
      </w:r>
    </w:p>
    <w:p w14:paraId="60965FCC" w14:textId="159E32AB" w:rsidR="006A44D9" w:rsidRDefault="007D7B28" w:rsidP="00CA31D7">
      <w:pPr>
        <w:spacing w:before="120" w:after="0" w:line="300" w:lineRule="exact"/>
        <w:jc w:val="both"/>
      </w:pPr>
      <w:r w:rsidRPr="00ED2CDC">
        <w:t>R</w:t>
      </w:r>
      <w:r w:rsidR="006A44D9" w:rsidRPr="00ED2CDC">
        <w:t xml:space="preserve">ispetto </w:t>
      </w:r>
      <w:r w:rsidR="00755E9D" w:rsidRPr="00ED2CDC">
        <w:t>ai</w:t>
      </w:r>
      <w:r w:rsidR="00AA1DF3" w:rsidRPr="00ED2CDC">
        <w:t xml:space="preserve"> </w:t>
      </w:r>
      <w:r w:rsidR="00FD5E28" w:rsidRPr="00ED2CDC">
        <w:t xml:space="preserve">partenariati per la </w:t>
      </w:r>
      <w:r w:rsidR="00AA1DF3" w:rsidRPr="00ED2CDC">
        <w:t>cooperazione</w:t>
      </w:r>
      <w:r w:rsidR="00755E9D" w:rsidRPr="00ED2CDC">
        <w:t xml:space="preserve"> del settore istruzione e formazione professionale finanziati dall’Italia</w:t>
      </w:r>
      <w:r w:rsidR="008D031C" w:rsidRPr="00ED2CDC">
        <w:t>, il</w:t>
      </w:r>
      <w:r w:rsidR="006A44D9" w:rsidRPr="00ED2CDC">
        <w:t xml:space="preserve"> </w:t>
      </w:r>
      <w:r w:rsidR="00755E9D" w:rsidRPr="00ED2CDC">
        <w:t>4</w:t>
      </w:r>
      <w:r w:rsidR="00DA3648" w:rsidRPr="00ED2CDC">
        <w:t>3</w:t>
      </w:r>
      <w:r w:rsidR="00755E9D" w:rsidRPr="00ED2CDC">
        <w:t xml:space="preserve"> </w:t>
      </w:r>
      <w:r w:rsidR="006A44D9" w:rsidRPr="00ED2CDC">
        <w:t xml:space="preserve">% </w:t>
      </w:r>
      <w:r w:rsidR="00755E9D" w:rsidRPr="00ED2CDC">
        <w:t xml:space="preserve">dei </w:t>
      </w:r>
      <w:r w:rsidR="006A44D9" w:rsidRPr="00ED2CDC">
        <w:t xml:space="preserve">progetti </w:t>
      </w:r>
      <w:r w:rsidR="00755E9D" w:rsidRPr="00ED2CDC">
        <w:t xml:space="preserve">ha scelto di lavorare </w:t>
      </w:r>
      <w:r w:rsidR="006A44D9" w:rsidRPr="00ED2CDC">
        <w:t>su</w:t>
      </w:r>
      <w:r w:rsidR="00E21019" w:rsidRPr="00ED2CDC">
        <w:t xml:space="preserve">lla </w:t>
      </w:r>
      <w:r w:rsidR="00664AB1" w:rsidRPr="00ED2CDC">
        <w:t>t</w:t>
      </w:r>
      <w:r w:rsidR="00E21019" w:rsidRPr="00ED2CDC">
        <w:t>rasformazione digitale</w:t>
      </w:r>
      <w:r w:rsidR="006A44D9" w:rsidRPr="00ED2CDC">
        <w:t xml:space="preserve">, il </w:t>
      </w:r>
      <w:r w:rsidR="00755E9D" w:rsidRPr="00ED2CDC">
        <w:t>31</w:t>
      </w:r>
      <w:r w:rsidR="008D031C" w:rsidRPr="00ED2CDC">
        <w:t xml:space="preserve">% </w:t>
      </w:r>
      <w:r w:rsidR="00755E9D" w:rsidRPr="00ED2CDC">
        <w:t xml:space="preserve">dei </w:t>
      </w:r>
      <w:r w:rsidR="00E21019" w:rsidRPr="00ED2CDC">
        <w:t xml:space="preserve">progetti </w:t>
      </w:r>
      <w:r w:rsidR="00755E9D" w:rsidRPr="00ED2CDC">
        <w:t>sul</w:t>
      </w:r>
      <w:r w:rsidR="00E21019" w:rsidRPr="00ED2CDC">
        <w:t>l’</w:t>
      </w:r>
      <w:r w:rsidR="00664AB1" w:rsidRPr="00ED2CDC">
        <w:t>i</w:t>
      </w:r>
      <w:r w:rsidR="00E21019" w:rsidRPr="00ED2CDC">
        <w:t xml:space="preserve">nclusione e la </w:t>
      </w:r>
      <w:r w:rsidR="009440F4" w:rsidRPr="00ED2CDC">
        <w:t>diversità,</w:t>
      </w:r>
      <w:r w:rsidR="006A44D9" w:rsidRPr="00ED2CDC">
        <w:t xml:space="preserve"> il </w:t>
      </w:r>
      <w:r w:rsidR="00755E9D" w:rsidRPr="00ED2CDC">
        <w:t xml:space="preserve">25 </w:t>
      </w:r>
      <w:r w:rsidR="006A44D9" w:rsidRPr="00ED2CDC">
        <w:t xml:space="preserve">% </w:t>
      </w:r>
      <w:r w:rsidR="008D031C" w:rsidRPr="00ED2CDC">
        <w:t>sull’</w:t>
      </w:r>
      <w:r w:rsidR="006A44D9" w:rsidRPr="00ED2CDC">
        <w:t xml:space="preserve">ambiente </w:t>
      </w:r>
      <w:r w:rsidR="00AA1DF3" w:rsidRPr="00ED2CDC">
        <w:t>e cambiamento</w:t>
      </w:r>
      <w:r w:rsidR="006A44D9" w:rsidRPr="00ED2CDC">
        <w:t xml:space="preserve"> climatico </w:t>
      </w:r>
      <w:r w:rsidR="00E21019" w:rsidRPr="00ED2CDC">
        <w:t xml:space="preserve">e </w:t>
      </w:r>
      <w:r w:rsidR="006A44D9" w:rsidRPr="00ED2CDC">
        <w:t xml:space="preserve">il </w:t>
      </w:r>
      <w:r w:rsidR="00755E9D" w:rsidRPr="00ED2CDC">
        <w:t>10</w:t>
      </w:r>
      <w:r w:rsidR="00E21019" w:rsidRPr="00ED2CDC">
        <w:t>%</w:t>
      </w:r>
      <w:r w:rsidR="006A44D9" w:rsidRPr="00ED2CDC">
        <w:t xml:space="preserve"> </w:t>
      </w:r>
      <w:r w:rsidR="00755E9D" w:rsidRPr="00ED2CDC">
        <w:t xml:space="preserve">sulla </w:t>
      </w:r>
      <w:r w:rsidR="006A44D9" w:rsidRPr="00ED2CDC">
        <w:t>prom</w:t>
      </w:r>
      <w:r w:rsidR="00755E9D" w:rsidRPr="00ED2CDC">
        <w:t>ozione</w:t>
      </w:r>
      <w:r w:rsidR="006A44D9" w:rsidRPr="00ED2CDC">
        <w:t xml:space="preserve"> </w:t>
      </w:r>
      <w:r w:rsidR="00755E9D" w:rsidRPr="00ED2CDC">
        <w:t>del</w:t>
      </w:r>
      <w:r w:rsidR="00AA1DF3" w:rsidRPr="00ED2CDC">
        <w:t xml:space="preserve">la </w:t>
      </w:r>
      <w:r w:rsidR="00664AB1" w:rsidRPr="00ED2CDC">
        <w:t>p</w:t>
      </w:r>
      <w:r w:rsidR="00AA1DF3" w:rsidRPr="00ED2CDC">
        <w:t>artecipazione</w:t>
      </w:r>
      <w:r w:rsidR="008D031C" w:rsidRPr="00ED2CDC">
        <w:t xml:space="preserve"> democratica.</w:t>
      </w:r>
      <w:r w:rsidR="006A44D9" w:rsidRPr="00ED2CDC">
        <w:t xml:space="preserve"> </w:t>
      </w:r>
    </w:p>
    <w:p w14:paraId="69502F0A" w14:textId="77777777" w:rsidR="00A858C5" w:rsidRDefault="00A858C5" w:rsidP="00CA31D7">
      <w:pPr>
        <w:spacing w:before="120" w:after="0" w:line="300" w:lineRule="exact"/>
        <w:jc w:val="both"/>
      </w:pPr>
    </w:p>
    <w:p w14:paraId="79BB8D4C" w14:textId="77777777" w:rsidR="00A858C5" w:rsidRDefault="00A858C5" w:rsidP="00CA31D7">
      <w:pPr>
        <w:spacing w:before="120" w:after="0" w:line="300" w:lineRule="exact"/>
        <w:jc w:val="both"/>
      </w:pPr>
    </w:p>
    <w:p w14:paraId="5136FC2C" w14:textId="77777777" w:rsidR="00A858C5" w:rsidRDefault="00A858C5" w:rsidP="00CA31D7">
      <w:pPr>
        <w:spacing w:before="120" w:after="0" w:line="300" w:lineRule="exact"/>
        <w:jc w:val="both"/>
      </w:pPr>
    </w:p>
    <w:p w14:paraId="46AB340B" w14:textId="77777777" w:rsidR="00A858C5" w:rsidRPr="00A858C5" w:rsidRDefault="00A858C5" w:rsidP="00A858C5">
      <w:pPr>
        <w:spacing w:after="120" w:line="240" w:lineRule="auto"/>
        <w:jc w:val="both"/>
        <w:outlineLvl w:val="0"/>
        <w:rPr>
          <w:rFonts w:cstheme="minorHAnsi"/>
          <w:spacing w:val="-2"/>
          <w:kern w:val="2"/>
          <w:sz w:val="24"/>
          <w:szCs w:val="24"/>
          <w14:ligatures w14:val="standardContextual"/>
        </w:rPr>
      </w:pPr>
    </w:p>
    <w:p w14:paraId="30F86F09" w14:textId="77777777" w:rsidR="00A858C5" w:rsidRPr="00A858C5" w:rsidRDefault="00A858C5" w:rsidP="00A858C5">
      <w:pPr>
        <w:spacing w:after="0" w:line="240" w:lineRule="auto"/>
        <w:jc w:val="both"/>
        <w:rPr>
          <w:rFonts w:cstheme="minorHAnsi"/>
          <w:color w:val="000000"/>
          <w:lang w:eastAsia="it-IT"/>
        </w:rPr>
      </w:pPr>
      <w:r w:rsidRPr="00A858C5">
        <w:rPr>
          <w:rFonts w:cstheme="minorHAnsi"/>
          <w:color w:val="000000"/>
          <w:lang w:eastAsia="it-IT"/>
        </w:rPr>
        <w:t>Per maggiori informazioni:</w:t>
      </w:r>
    </w:p>
    <w:p w14:paraId="45C8801D" w14:textId="77777777" w:rsidR="00A858C5" w:rsidRPr="00A858C5" w:rsidRDefault="00A858C5" w:rsidP="00A858C5">
      <w:pPr>
        <w:spacing w:after="0" w:line="240" w:lineRule="auto"/>
        <w:jc w:val="both"/>
        <w:rPr>
          <w:rFonts w:cstheme="minorHAnsi"/>
          <w:color w:val="000000"/>
          <w:lang w:eastAsia="it-IT"/>
        </w:rPr>
      </w:pPr>
      <w:r w:rsidRPr="00A858C5">
        <w:rPr>
          <w:rFonts w:cstheme="minorHAnsi"/>
          <w:color w:val="000000"/>
          <w:lang w:eastAsia="it-IT"/>
        </w:rPr>
        <w:t>Giancarlo Salemi - Portavoce Presidente INAPP (347 6312823)</w:t>
      </w:r>
    </w:p>
    <w:p w14:paraId="37E7BC31" w14:textId="77777777" w:rsidR="00A858C5" w:rsidRPr="00A858C5" w:rsidRDefault="00A858C5" w:rsidP="00A858C5">
      <w:pPr>
        <w:spacing w:after="0" w:line="240" w:lineRule="auto"/>
        <w:jc w:val="both"/>
        <w:rPr>
          <w:rFonts w:cstheme="minorHAnsi"/>
          <w:color w:val="0563C1" w:themeColor="hyperlink"/>
          <w:u w:val="single"/>
          <w:lang w:eastAsia="it-IT"/>
        </w:rPr>
      </w:pPr>
      <w:hyperlink r:id="rId10" w:history="1">
        <w:r w:rsidRPr="00A858C5">
          <w:rPr>
            <w:rFonts w:cstheme="minorHAnsi"/>
            <w:color w:val="0563C1" w:themeColor="hyperlink"/>
            <w:u w:val="single"/>
            <w:lang w:eastAsia="it-IT"/>
          </w:rPr>
          <w:t>stampa@inapp.gov.it</w:t>
        </w:r>
      </w:hyperlink>
    </w:p>
    <w:p w14:paraId="502B6D9B" w14:textId="77777777" w:rsidR="00A858C5" w:rsidRPr="00A858C5" w:rsidRDefault="00A858C5" w:rsidP="00A858C5">
      <w:pPr>
        <w:spacing w:after="0" w:line="240" w:lineRule="auto"/>
        <w:jc w:val="both"/>
        <w:rPr>
          <w:rFonts w:cstheme="minorHAnsi"/>
          <w:spacing w:val="-4"/>
          <w:lang w:eastAsia="it-IT"/>
        </w:rPr>
      </w:pPr>
      <w:hyperlink r:id="rId11" w:history="1">
        <w:r w:rsidRPr="00A858C5">
          <w:rPr>
            <w:rFonts w:cstheme="minorHAnsi"/>
            <w:color w:val="0563C1" w:themeColor="hyperlink"/>
            <w:u w:val="single"/>
            <w:lang w:eastAsia="it-IT"/>
          </w:rPr>
          <w:t>www.inapp.gov.it</w:t>
        </w:r>
      </w:hyperlink>
      <w:r w:rsidRPr="00A858C5">
        <w:rPr>
          <w:rFonts w:cstheme="minorHAnsi"/>
          <w:color w:val="0563C1" w:themeColor="hyperlink"/>
          <w:u w:val="single"/>
          <w:lang w:eastAsia="it-IT"/>
        </w:rPr>
        <w:t xml:space="preserve"> </w:t>
      </w:r>
    </w:p>
    <w:p w14:paraId="2D18A9ED" w14:textId="77777777" w:rsidR="00A858C5" w:rsidRPr="00A858C5" w:rsidRDefault="00A858C5" w:rsidP="00A858C5">
      <w:pPr>
        <w:spacing w:after="0"/>
        <w:jc w:val="both"/>
        <w:rPr>
          <w:kern w:val="2"/>
          <w:sz w:val="20"/>
          <w:szCs w:val="20"/>
          <w14:ligatures w14:val="standardContextual"/>
        </w:rPr>
      </w:pPr>
    </w:p>
    <w:p w14:paraId="06D6B13E" w14:textId="77777777" w:rsidR="00A858C5" w:rsidRPr="00ED2CDC" w:rsidRDefault="00A858C5" w:rsidP="00CA31D7">
      <w:pPr>
        <w:spacing w:before="120" w:after="0" w:line="300" w:lineRule="exact"/>
        <w:jc w:val="both"/>
      </w:pPr>
    </w:p>
    <w:p w14:paraId="5B859C36" w14:textId="77777777" w:rsidR="00664AB1" w:rsidRPr="007D7B28" w:rsidRDefault="00664AB1" w:rsidP="00753D2C">
      <w:pPr>
        <w:spacing w:line="300" w:lineRule="exact"/>
        <w:jc w:val="both"/>
      </w:pPr>
    </w:p>
    <w:p w14:paraId="35A50E95" w14:textId="44333563" w:rsidR="00C641E8" w:rsidRDefault="00A1409C" w:rsidP="006A44D9">
      <w:pPr>
        <w:spacing w:line="360" w:lineRule="auto"/>
      </w:pPr>
      <w:r w:rsidRPr="00A1409C">
        <w:tab/>
      </w:r>
      <w:r w:rsidRPr="00A1409C">
        <w:tab/>
      </w:r>
      <w:r w:rsidRPr="00A1409C">
        <w:tab/>
      </w:r>
      <w:r w:rsidRPr="00A1409C">
        <w:tab/>
      </w:r>
      <w:r w:rsidR="00C641E8" w:rsidRPr="00C641E8">
        <w:tab/>
      </w:r>
      <w:r w:rsidR="00C641E8" w:rsidRPr="00C641E8">
        <w:tab/>
      </w:r>
      <w:r w:rsidR="00C641E8" w:rsidRPr="00C641E8">
        <w:tab/>
      </w:r>
      <w:r w:rsidR="00C641E8" w:rsidRPr="00C641E8">
        <w:tab/>
      </w:r>
      <w:r w:rsidR="00C641E8">
        <w:t xml:space="preserve"> </w:t>
      </w:r>
    </w:p>
    <w:sectPr w:rsidR="00C641E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DB73B" w14:textId="77777777" w:rsidR="001F5F53" w:rsidRDefault="001F5F53" w:rsidP="00293453">
      <w:pPr>
        <w:spacing w:after="0" w:line="240" w:lineRule="auto"/>
      </w:pPr>
      <w:r>
        <w:separator/>
      </w:r>
    </w:p>
  </w:endnote>
  <w:endnote w:type="continuationSeparator" w:id="0">
    <w:p w14:paraId="4FABBE00" w14:textId="77777777" w:rsidR="001F5F53" w:rsidRDefault="001F5F53" w:rsidP="0029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15B8" w14:textId="77777777" w:rsidR="001F5F53" w:rsidRDefault="001F5F53" w:rsidP="00293453">
      <w:pPr>
        <w:spacing w:after="0" w:line="240" w:lineRule="auto"/>
      </w:pPr>
      <w:r>
        <w:separator/>
      </w:r>
    </w:p>
  </w:footnote>
  <w:footnote w:type="continuationSeparator" w:id="0">
    <w:p w14:paraId="42105A8C" w14:textId="77777777" w:rsidR="001F5F53" w:rsidRDefault="001F5F53" w:rsidP="00293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1273"/>
    <w:multiLevelType w:val="hybridMultilevel"/>
    <w:tmpl w:val="988A53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5B86E61"/>
    <w:multiLevelType w:val="hybridMultilevel"/>
    <w:tmpl w:val="AFA00D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6856007">
    <w:abstractNumId w:val="1"/>
  </w:num>
  <w:num w:numId="2" w16cid:durableId="1181507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453"/>
    <w:rsid w:val="000207FA"/>
    <w:rsid w:val="00026320"/>
    <w:rsid w:val="00043669"/>
    <w:rsid w:val="0006148C"/>
    <w:rsid w:val="000F116A"/>
    <w:rsid w:val="001402CD"/>
    <w:rsid w:val="00191F48"/>
    <w:rsid w:val="001F5F53"/>
    <w:rsid w:val="0021407A"/>
    <w:rsid w:val="00225CAA"/>
    <w:rsid w:val="002356B4"/>
    <w:rsid w:val="00255D57"/>
    <w:rsid w:val="00293453"/>
    <w:rsid w:val="002A3925"/>
    <w:rsid w:val="00341926"/>
    <w:rsid w:val="003469CB"/>
    <w:rsid w:val="0037236F"/>
    <w:rsid w:val="003A435D"/>
    <w:rsid w:val="004C6C8F"/>
    <w:rsid w:val="005A1F32"/>
    <w:rsid w:val="005A2491"/>
    <w:rsid w:val="005A6DCB"/>
    <w:rsid w:val="005C63FD"/>
    <w:rsid w:val="00627226"/>
    <w:rsid w:val="00664AB1"/>
    <w:rsid w:val="006723BD"/>
    <w:rsid w:val="0067634F"/>
    <w:rsid w:val="0069659C"/>
    <w:rsid w:val="006A44D9"/>
    <w:rsid w:val="006B1218"/>
    <w:rsid w:val="0071777F"/>
    <w:rsid w:val="00752401"/>
    <w:rsid w:val="00753D2C"/>
    <w:rsid w:val="00755E9D"/>
    <w:rsid w:val="00763643"/>
    <w:rsid w:val="007A3454"/>
    <w:rsid w:val="007D7B28"/>
    <w:rsid w:val="007E33A2"/>
    <w:rsid w:val="008411E6"/>
    <w:rsid w:val="00851627"/>
    <w:rsid w:val="0087798D"/>
    <w:rsid w:val="00884FB1"/>
    <w:rsid w:val="008A545C"/>
    <w:rsid w:val="008D031C"/>
    <w:rsid w:val="008D0C19"/>
    <w:rsid w:val="008D42B0"/>
    <w:rsid w:val="009440F4"/>
    <w:rsid w:val="00A04EA2"/>
    <w:rsid w:val="00A1409C"/>
    <w:rsid w:val="00A561C2"/>
    <w:rsid w:val="00A858C5"/>
    <w:rsid w:val="00AA1DF3"/>
    <w:rsid w:val="00AE7D4D"/>
    <w:rsid w:val="00B32590"/>
    <w:rsid w:val="00B47B13"/>
    <w:rsid w:val="00BA6889"/>
    <w:rsid w:val="00BA6E5A"/>
    <w:rsid w:val="00BE5A20"/>
    <w:rsid w:val="00C205DC"/>
    <w:rsid w:val="00C641E8"/>
    <w:rsid w:val="00CA19A6"/>
    <w:rsid w:val="00CA31D7"/>
    <w:rsid w:val="00CB3533"/>
    <w:rsid w:val="00CE2104"/>
    <w:rsid w:val="00D102C9"/>
    <w:rsid w:val="00D3594B"/>
    <w:rsid w:val="00D713CD"/>
    <w:rsid w:val="00DA3648"/>
    <w:rsid w:val="00DD3D97"/>
    <w:rsid w:val="00E21019"/>
    <w:rsid w:val="00E21571"/>
    <w:rsid w:val="00E82609"/>
    <w:rsid w:val="00E97A16"/>
    <w:rsid w:val="00ED2CDC"/>
    <w:rsid w:val="00ED5F09"/>
    <w:rsid w:val="00F140A6"/>
    <w:rsid w:val="00F34045"/>
    <w:rsid w:val="00F57A23"/>
    <w:rsid w:val="00F75E0C"/>
    <w:rsid w:val="00FD5E28"/>
    <w:rsid w:val="00FE3E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0328"/>
  <w15:chartTrackingRefBased/>
  <w15:docId w15:val="{DA94A4BC-34B9-4A1C-B179-31F0EE3C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3453"/>
    <w:pPr>
      <w:spacing w:after="200" w:line="276"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29345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93453"/>
    <w:rPr>
      <w:kern w:val="0"/>
      <w:sz w:val="20"/>
      <w:szCs w:val="20"/>
      <w14:ligatures w14:val="none"/>
    </w:rPr>
  </w:style>
  <w:style w:type="character" w:styleId="Rimandonotaapidipagina">
    <w:name w:val="footnote reference"/>
    <w:basedOn w:val="Carpredefinitoparagrafo"/>
    <w:uiPriority w:val="99"/>
    <w:semiHidden/>
    <w:unhideWhenUsed/>
    <w:rsid w:val="00293453"/>
    <w:rPr>
      <w:vertAlign w:val="superscript"/>
    </w:rPr>
  </w:style>
  <w:style w:type="paragraph" w:styleId="Paragrafoelenco">
    <w:name w:val="List Paragraph"/>
    <w:basedOn w:val="Normale"/>
    <w:uiPriority w:val="34"/>
    <w:qFormat/>
    <w:rsid w:val="006723BD"/>
    <w:pPr>
      <w:ind w:left="720"/>
      <w:contextualSpacing/>
    </w:pPr>
  </w:style>
  <w:style w:type="table" w:styleId="Grigliatabella">
    <w:name w:val="Table Grid"/>
    <w:basedOn w:val="Tabellanormale"/>
    <w:uiPriority w:val="39"/>
    <w:rsid w:val="00BE5A2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5162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69037">
      <w:bodyDiv w:val="1"/>
      <w:marLeft w:val="0"/>
      <w:marRight w:val="0"/>
      <w:marTop w:val="0"/>
      <w:marBottom w:val="0"/>
      <w:divBdr>
        <w:top w:val="none" w:sz="0" w:space="0" w:color="auto"/>
        <w:left w:val="none" w:sz="0" w:space="0" w:color="auto"/>
        <w:bottom w:val="none" w:sz="0" w:space="0" w:color="auto"/>
        <w:right w:val="none" w:sz="0" w:space="0" w:color="auto"/>
      </w:divBdr>
    </w:div>
    <w:div w:id="625817782">
      <w:bodyDiv w:val="1"/>
      <w:marLeft w:val="0"/>
      <w:marRight w:val="0"/>
      <w:marTop w:val="0"/>
      <w:marBottom w:val="0"/>
      <w:divBdr>
        <w:top w:val="none" w:sz="0" w:space="0" w:color="auto"/>
        <w:left w:val="none" w:sz="0" w:space="0" w:color="auto"/>
        <w:bottom w:val="none" w:sz="0" w:space="0" w:color="auto"/>
        <w:right w:val="none" w:sz="0" w:space="0" w:color="auto"/>
      </w:divBdr>
    </w:div>
    <w:div w:id="880558266">
      <w:bodyDiv w:val="1"/>
      <w:marLeft w:val="0"/>
      <w:marRight w:val="0"/>
      <w:marTop w:val="0"/>
      <w:marBottom w:val="0"/>
      <w:divBdr>
        <w:top w:val="none" w:sz="0" w:space="0" w:color="auto"/>
        <w:left w:val="none" w:sz="0" w:space="0" w:color="auto"/>
        <w:bottom w:val="none" w:sz="0" w:space="0" w:color="auto"/>
        <w:right w:val="none" w:sz="0" w:space="0" w:color="auto"/>
      </w:divBdr>
    </w:div>
    <w:div w:id="192676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app.gov.it" TargetMode="External"/><Relationship Id="rId5" Type="http://schemas.openxmlformats.org/officeDocument/2006/relationships/footnotes" Target="footnotes.xml"/><Relationship Id="rId10" Type="http://schemas.openxmlformats.org/officeDocument/2006/relationships/hyperlink" Target="mailto:stampa@inapp.gov.it"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4930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Pinardi</dc:creator>
  <cp:keywords/>
  <dc:description/>
  <cp:lastModifiedBy>Bensi Claudio</cp:lastModifiedBy>
  <cp:revision>3</cp:revision>
  <dcterms:created xsi:type="dcterms:W3CDTF">2023-10-23T13:57:00Z</dcterms:created>
  <dcterms:modified xsi:type="dcterms:W3CDTF">2023-10-23T13:59:00Z</dcterms:modified>
</cp:coreProperties>
</file>