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673B" w14:textId="77777777" w:rsidR="00874283" w:rsidRPr="00CD7039" w:rsidRDefault="00874283">
      <w:pPr>
        <w:tabs>
          <w:tab w:val="left" w:pos="142"/>
        </w:tabs>
        <w:spacing w:after="120" w:line="240" w:lineRule="auto"/>
        <w:rPr>
          <w:rFonts w:eastAsia="Calibri" w:cstheme="minorHAnsi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60"/>
      </w:tblGrid>
      <w:tr w:rsidR="00053122" w:rsidRPr="00CD7039" w14:paraId="7FD9C614" w14:textId="77777777">
        <w:trPr>
          <w:trHeight w:val="6733"/>
          <w:jc w:val="center"/>
        </w:trPr>
        <w:tc>
          <w:tcPr>
            <w:tcW w:w="5000" w:type="pct"/>
            <w:vAlign w:val="center"/>
          </w:tcPr>
          <w:p w14:paraId="5FCEC063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jc w:val="both"/>
              <w:rPr>
                <w:rFonts w:cstheme="minorHAnsi"/>
                <w:b/>
              </w:rPr>
            </w:pPr>
          </w:p>
          <w:p w14:paraId="19B786E2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0BE5BAD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1CFD1F2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CB5D913" w14:textId="77777777" w:rsidR="00053122" w:rsidRPr="00CD7039" w:rsidRDefault="00053122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before="1600" w:after="120" w:line="240" w:lineRule="auto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9CC5434" w14:textId="77777777" w:rsidR="00E36703" w:rsidRPr="00CD7039" w:rsidRDefault="00E36703" w:rsidP="00E36703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CD7039">
              <w:rPr>
                <w:rFonts w:cstheme="minorHAnsi"/>
                <w:b/>
                <w:sz w:val="24"/>
                <w:szCs w:val="24"/>
              </w:rPr>
              <w:t xml:space="preserve">PROGRAMMA NAZIONALE GIOVANI, DONNE E LAVORO </w:t>
            </w:r>
            <w:r w:rsidRPr="00CD7039">
              <w:rPr>
                <w:rFonts w:cstheme="minorHAnsi"/>
                <w:b/>
              </w:rPr>
              <w:t>CCI 2021IT05SFPR001</w:t>
            </w:r>
          </w:p>
          <w:p w14:paraId="6EC71BFD" w14:textId="77777777" w:rsidR="00E36703" w:rsidRPr="00CD7039" w:rsidRDefault="00E36703" w:rsidP="00E36703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789B597" w14:textId="77777777" w:rsidR="00E36703" w:rsidRPr="00CD7039" w:rsidRDefault="00E36703" w:rsidP="00E36703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7039">
              <w:rPr>
                <w:rFonts w:cstheme="minorHAnsi"/>
                <w:b/>
                <w:sz w:val="24"/>
                <w:szCs w:val="24"/>
              </w:rPr>
              <w:t>ISTITUTO NAZIONALE PER L’ANALISI DELLE POLITICHE PUBBLICHE - INAPP</w:t>
            </w:r>
          </w:p>
          <w:p w14:paraId="29084549" w14:textId="77777777" w:rsidR="00E36703" w:rsidRPr="00CD7039" w:rsidRDefault="00E36703" w:rsidP="00E36703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D7039">
              <w:rPr>
                <w:rFonts w:cstheme="minorHAnsi"/>
                <w:i/>
                <w:sz w:val="24"/>
                <w:szCs w:val="24"/>
              </w:rPr>
              <w:t>in qualità di Organismo Intermedio</w:t>
            </w:r>
          </w:p>
          <w:p w14:paraId="587F160E" w14:textId="77777777" w:rsidR="00053122" w:rsidRPr="00CD7039" w:rsidRDefault="00053122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7E0921" w14:textId="3D3EEF3B" w:rsidR="00C763D9" w:rsidRPr="00CD7039" w:rsidRDefault="007829AB" w:rsidP="00C763D9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81105F" w:rsidRPr="00CD7039">
              <w:rPr>
                <w:rFonts w:cstheme="minorHAnsi"/>
                <w:b/>
                <w:bCs/>
                <w:sz w:val="20"/>
                <w:szCs w:val="20"/>
              </w:rPr>
              <w:t xml:space="preserve">etodologia di calcolo </w:t>
            </w:r>
            <w:r w:rsidRPr="00CD7039">
              <w:rPr>
                <w:rFonts w:cstheme="minorHAnsi"/>
                <w:b/>
                <w:bCs/>
                <w:sz w:val="20"/>
                <w:szCs w:val="20"/>
              </w:rPr>
              <w:t xml:space="preserve">delle </w:t>
            </w:r>
            <w:r w:rsidR="00053122" w:rsidRPr="00CD7039">
              <w:rPr>
                <w:rFonts w:cstheme="minorHAnsi"/>
                <w:b/>
                <w:bCs/>
                <w:sz w:val="20"/>
                <w:szCs w:val="20"/>
              </w:rPr>
              <w:t xml:space="preserve">Unità di Costo Standard </w:t>
            </w:r>
          </w:p>
          <w:p w14:paraId="6430FBFF" w14:textId="17CE13F1" w:rsidR="00053122" w:rsidRPr="00CD7039" w:rsidRDefault="00053122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404AA4" w14:textId="092F36B1" w:rsidR="00053122" w:rsidRPr="00CD7039" w:rsidRDefault="00053122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CD7039">
              <w:rPr>
                <w:rFonts w:cstheme="minorHAnsi"/>
                <w:i/>
                <w:iCs/>
                <w:sz w:val="20"/>
                <w:szCs w:val="20"/>
              </w:rPr>
              <w:t xml:space="preserve">art. </w:t>
            </w:r>
            <w:r w:rsidR="001E22C8" w:rsidRPr="00CD7039">
              <w:rPr>
                <w:rFonts w:cstheme="minorHAnsi"/>
                <w:i/>
                <w:iCs/>
                <w:sz w:val="20"/>
                <w:szCs w:val="20"/>
              </w:rPr>
              <w:t>53</w:t>
            </w:r>
            <w:r w:rsidR="00652560" w:rsidRPr="00CD7039">
              <w:rPr>
                <w:rFonts w:cstheme="minorHAnsi"/>
                <w:i/>
                <w:iCs/>
                <w:sz w:val="20"/>
                <w:szCs w:val="20"/>
              </w:rPr>
              <w:t>, comma</w:t>
            </w:r>
            <w:r w:rsidRPr="00CD7039">
              <w:rPr>
                <w:rFonts w:cstheme="minorHAnsi"/>
                <w:i/>
                <w:iCs/>
                <w:sz w:val="20"/>
                <w:szCs w:val="20"/>
              </w:rPr>
              <w:t>.1</w:t>
            </w:r>
            <w:r w:rsidR="00652560" w:rsidRPr="00CD7039">
              <w:rPr>
                <w:rFonts w:cstheme="minorHAnsi"/>
                <w:i/>
                <w:iCs/>
                <w:sz w:val="20"/>
                <w:szCs w:val="20"/>
              </w:rPr>
              <w:t>, lett.</w:t>
            </w:r>
            <w:r w:rsidRPr="00CD7039">
              <w:rPr>
                <w:rFonts w:cstheme="minorHAnsi"/>
                <w:i/>
                <w:iCs/>
                <w:sz w:val="20"/>
                <w:szCs w:val="20"/>
              </w:rPr>
              <w:t xml:space="preserve"> (b) del Regolamento (UE)10</w:t>
            </w:r>
            <w:r w:rsidR="001E22C8" w:rsidRPr="00CD7039">
              <w:rPr>
                <w:rFonts w:cstheme="minorHAnsi"/>
                <w:i/>
                <w:iCs/>
                <w:sz w:val="20"/>
                <w:szCs w:val="20"/>
              </w:rPr>
              <w:t>60</w:t>
            </w:r>
            <w:r w:rsidRPr="00CD7039">
              <w:rPr>
                <w:rFonts w:cstheme="minorHAnsi"/>
                <w:i/>
                <w:iCs/>
                <w:sz w:val="20"/>
                <w:szCs w:val="20"/>
              </w:rPr>
              <w:t>/20</w:t>
            </w:r>
            <w:r w:rsidR="001E22C8" w:rsidRPr="00CD7039">
              <w:rPr>
                <w:rFonts w:cstheme="minorHAnsi"/>
                <w:i/>
                <w:iCs/>
                <w:sz w:val="20"/>
                <w:szCs w:val="20"/>
              </w:rPr>
              <w:t>21</w:t>
            </w:r>
          </w:p>
          <w:p w14:paraId="2B7C49B9" w14:textId="77777777" w:rsidR="00053122" w:rsidRPr="00CD7039" w:rsidRDefault="00053122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25175F" w14:textId="77777777" w:rsidR="00053122" w:rsidRPr="00CD7039" w:rsidRDefault="00053122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FE7732" w14:textId="68666701" w:rsidR="00053122" w:rsidRPr="00CD7039" w:rsidRDefault="00053122">
            <w:pPr>
              <w:pBdr>
                <w:top w:val="dotted" w:sz="4" w:space="0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hd w:val="clear" w:color="auto" w:fill="D9E2F3" w:themeFill="accent1" w:themeFillTint="33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D7039">
              <w:rPr>
                <w:rFonts w:cstheme="minorHAnsi"/>
                <w:sz w:val="20"/>
                <w:szCs w:val="20"/>
              </w:rPr>
              <w:t xml:space="preserve">Versione </w:t>
            </w:r>
            <w:r w:rsidR="009B50CA" w:rsidRPr="00CD7039">
              <w:rPr>
                <w:rFonts w:cstheme="minorHAnsi"/>
                <w:sz w:val="20"/>
                <w:szCs w:val="20"/>
              </w:rPr>
              <w:t>2</w:t>
            </w:r>
            <w:r w:rsidRPr="00CD7039">
              <w:rPr>
                <w:rFonts w:cstheme="minorHAnsi"/>
                <w:sz w:val="20"/>
                <w:szCs w:val="20"/>
              </w:rPr>
              <w:t>.0</w:t>
            </w:r>
          </w:p>
          <w:p w14:paraId="4C2F9148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7E54202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122322D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7EBADF4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jc w:val="center"/>
              <w:rPr>
                <w:rFonts w:cstheme="minorHAnsi"/>
              </w:rPr>
            </w:pPr>
          </w:p>
          <w:p w14:paraId="577D6007" w14:textId="77777777" w:rsidR="00053122" w:rsidRPr="00CD7039" w:rsidRDefault="00053122">
            <w:pPr>
              <w:tabs>
                <w:tab w:val="left" w:pos="142"/>
              </w:tabs>
              <w:spacing w:after="120" w:line="240" w:lineRule="auto"/>
              <w:rPr>
                <w:rFonts w:cstheme="minorHAnsi"/>
                <w:b/>
              </w:rPr>
            </w:pPr>
          </w:p>
        </w:tc>
      </w:tr>
    </w:tbl>
    <w:p w14:paraId="0B950A4B" w14:textId="77777777" w:rsidR="00874283" w:rsidRPr="00CD7039" w:rsidRDefault="00874283">
      <w:pPr>
        <w:tabs>
          <w:tab w:val="left" w:pos="1455"/>
        </w:tabs>
        <w:spacing w:after="120" w:line="240" w:lineRule="auto"/>
        <w:rPr>
          <w:rFonts w:eastAsia="Times New Roman" w:cstheme="minorHAnsi"/>
          <w:b/>
        </w:rPr>
      </w:pPr>
    </w:p>
    <w:p w14:paraId="6FB89A23" w14:textId="77777777" w:rsidR="00874283" w:rsidRPr="00CD7039" w:rsidRDefault="00874283">
      <w:pPr>
        <w:tabs>
          <w:tab w:val="left" w:pos="142"/>
        </w:tabs>
        <w:spacing w:after="120" w:line="240" w:lineRule="auto"/>
        <w:rPr>
          <w:rFonts w:eastAsia="Times New Roman" w:cstheme="minorHAnsi"/>
          <w:b/>
        </w:rPr>
      </w:pPr>
    </w:p>
    <w:p w14:paraId="631FB5EF" w14:textId="77777777" w:rsidR="00053122" w:rsidRPr="00CD7039" w:rsidRDefault="00053122">
      <w:pPr>
        <w:tabs>
          <w:tab w:val="left" w:pos="142"/>
        </w:tabs>
        <w:spacing w:after="120" w:line="240" w:lineRule="auto"/>
        <w:rPr>
          <w:rFonts w:eastAsia="Times New Roman" w:cstheme="minorHAnsi"/>
          <w:b/>
        </w:rPr>
        <w:sectPr w:rsidR="00053122" w:rsidRPr="00CD7039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2595EF8" w14:textId="77777777" w:rsidR="00736620" w:rsidRDefault="00736620" w:rsidP="005D3C58">
      <w:pPr>
        <w:tabs>
          <w:tab w:val="left" w:pos="142"/>
        </w:tabs>
        <w:spacing w:after="120" w:line="240" w:lineRule="auto"/>
        <w:jc w:val="both"/>
        <w:rPr>
          <w:rFonts w:eastAsia="Calibri" w:cstheme="minorHAnsi"/>
          <w:b/>
          <w:sz w:val="20"/>
          <w:szCs w:val="20"/>
          <w:lang w:eastAsia="en-US"/>
        </w:rPr>
        <w:sectPr w:rsidR="0073662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6202658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54587E" w14:textId="3D423723" w:rsidR="00FE6FE5" w:rsidRDefault="00FE6FE5">
          <w:pPr>
            <w:pStyle w:val="Titolosommario"/>
          </w:pPr>
          <w:r w:rsidRPr="00FE6FE5">
            <w:rPr>
              <w:b/>
              <w:bCs/>
              <w:sz w:val="22"/>
              <w:szCs w:val="22"/>
            </w:rPr>
            <w:t>Sommario</w:t>
          </w:r>
        </w:p>
        <w:p w14:paraId="07DFD85C" w14:textId="179D3316" w:rsidR="00FE6FE5" w:rsidRDefault="00FE6FE5">
          <w:pPr>
            <w:pStyle w:val="Sommario2"/>
            <w:tabs>
              <w:tab w:val="left" w:pos="720"/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355865" w:history="1">
            <w:r w:rsidRPr="0046675E">
              <w:rPr>
                <w:rStyle w:val="Collegamentoipertestuale"/>
                <w:noProof/>
              </w:rPr>
              <w:t>1.</w:t>
            </w:r>
            <w:r>
              <w:rPr>
                <w:noProof/>
              </w:rPr>
              <w:tab/>
            </w:r>
            <w:r w:rsidRPr="0046675E">
              <w:rPr>
                <w:rStyle w:val="Collegamentoipertestuale"/>
                <w:noProof/>
              </w:rPr>
              <w:t>Contesto evolutivo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_Toc193355865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C0828" w14:textId="2DAFF207" w:rsidR="00FE6FE5" w:rsidRDefault="00FE6FE5">
          <w:pPr>
            <w:pStyle w:val="Sommario2"/>
            <w:tabs>
              <w:tab w:val="left" w:pos="720"/>
              <w:tab w:val="right" w:leader="dot" w:pos="9350"/>
            </w:tabs>
            <w:rPr>
              <w:noProof/>
            </w:rPr>
          </w:pPr>
          <w:hyperlink w:anchor="_Toc193355866" w:history="1">
            <w:r w:rsidRPr="0046675E">
              <w:rPr>
                <w:rStyle w:val="Collegamentoipertestuale"/>
                <w:noProof/>
              </w:rPr>
              <w:t>2.</w:t>
            </w:r>
            <w:r>
              <w:rPr>
                <w:noProof/>
              </w:rPr>
              <w:tab/>
            </w:r>
            <w:r w:rsidRPr="0046675E">
              <w:rPr>
                <w:rStyle w:val="Collegamentoipertestuale"/>
                <w:noProof/>
              </w:rPr>
              <w:t>Elementi metodologici di riferimento per l’individuazione del costo standard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_Toc193355866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1ABFC" w14:textId="2C8C2B62" w:rsidR="00FE6FE5" w:rsidRDefault="00FE6FE5">
          <w:pPr>
            <w:pStyle w:val="Sommario2"/>
            <w:tabs>
              <w:tab w:val="left" w:pos="720"/>
              <w:tab w:val="right" w:leader="dot" w:pos="9350"/>
            </w:tabs>
            <w:rPr>
              <w:noProof/>
            </w:rPr>
          </w:pPr>
          <w:hyperlink w:anchor="_Toc193355867" w:history="1">
            <w:r w:rsidRPr="0046675E">
              <w:rPr>
                <w:rStyle w:val="Collegamentoipertestuale"/>
                <w:noProof/>
              </w:rPr>
              <w:t>3.</w:t>
            </w:r>
            <w:r>
              <w:rPr>
                <w:noProof/>
              </w:rPr>
              <w:tab/>
            </w:r>
            <w:r w:rsidRPr="0046675E">
              <w:rPr>
                <w:rStyle w:val="Collegamentoipertestuale"/>
                <w:noProof/>
              </w:rPr>
              <w:t>Modalità di determinazione delle UCS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FF15D" w14:textId="5D6DE35B" w:rsidR="00FE6FE5" w:rsidRDefault="00FE6FE5">
          <w:pPr>
            <w:pStyle w:val="Sommario2"/>
            <w:tabs>
              <w:tab w:val="right" w:leader="dot" w:pos="9350"/>
            </w:tabs>
            <w:rPr>
              <w:noProof/>
            </w:rPr>
          </w:pPr>
          <w:hyperlink w:anchor="_Toc193355868" w:history="1">
            <w:r w:rsidRPr="0046675E">
              <w:rPr>
                <w:rStyle w:val="Collegamentoipertestuale"/>
                <w:noProof/>
              </w:rPr>
              <w:t>3.1 Determinazione del contributo pubblico attraverso le UCS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_Toc193355868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3CCB8" w14:textId="5BB8026F" w:rsidR="00FE6FE5" w:rsidRDefault="00FE6FE5">
          <w:r>
            <w:rPr>
              <w:b/>
              <w:bCs/>
            </w:rPr>
            <w:fldChar w:fldCharType="end"/>
          </w:r>
        </w:p>
      </w:sdtContent>
    </w:sdt>
    <w:p w14:paraId="0A472D0F" w14:textId="77777777" w:rsidR="00FE6FE5" w:rsidRDefault="00FE6FE5" w:rsidP="005D3C58">
      <w:pPr>
        <w:tabs>
          <w:tab w:val="left" w:pos="142"/>
        </w:tabs>
        <w:spacing w:after="120" w:line="240" w:lineRule="auto"/>
        <w:jc w:val="both"/>
        <w:rPr>
          <w:rFonts w:eastAsia="Calibri" w:cstheme="minorHAnsi"/>
          <w:b/>
          <w:sz w:val="20"/>
          <w:szCs w:val="20"/>
          <w:lang w:eastAsia="en-US"/>
        </w:rPr>
        <w:sectPr w:rsidR="00FE6FE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EE1A5D9" w14:textId="77777777" w:rsidR="005D3C58" w:rsidRPr="005B6AE9" w:rsidRDefault="005D3C58" w:rsidP="005B6AE9">
      <w:pPr>
        <w:pStyle w:val="titolo10"/>
        <w:numPr>
          <w:ilvl w:val="0"/>
          <w:numId w:val="10"/>
        </w:numPr>
        <w:ind w:left="360"/>
      </w:pPr>
      <w:bookmarkStart w:id="0" w:name="_Toc193355865"/>
      <w:r w:rsidRPr="005B6AE9">
        <w:lastRenderedPageBreak/>
        <w:t>Contesto evolutivo</w:t>
      </w:r>
      <w:bookmarkEnd w:id="0"/>
    </w:p>
    <w:p w14:paraId="4234067F" w14:textId="0D86948D" w:rsidR="005442FA" w:rsidRPr="00CD7039" w:rsidRDefault="005442FA" w:rsidP="005D3C58">
      <w:pPr>
        <w:tabs>
          <w:tab w:val="left" w:pos="142"/>
        </w:tabs>
        <w:spacing w:after="120" w:line="240" w:lineRule="auto"/>
        <w:jc w:val="both"/>
        <w:rPr>
          <w:rFonts w:cstheme="minorHAnsi"/>
          <w:sz w:val="20"/>
          <w:szCs w:val="20"/>
        </w:rPr>
      </w:pPr>
      <w:r w:rsidRPr="00CD7039">
        <w:rPr>
          <w:rFonts w:cstheme="minorHAnsi"/>
          <w:sz w:val="20"/>
          <w:szCs w:val="20"/>
        </w:rPr>
        <w:t>Il presente documento</w:t>
      </w:r>
      <w:r w:rsidR="00022931" w:rsidRPr="00CD7039">
        <w:rPr>
          <w:rFonts w:cstheme="minorHAnsi"/>
          <w:sz w:val="20"/>
          <w:szCs w:val="20"/>
        </w:rPr>
        <w:t xml:space="preserve"> rappresenta l’aggiornamento </w:t>
      </w:r>
      <w:r w:rsidRPr="00CD7039">
        <w:rPr>
          <w:rFonts w:cstheme="minorHAnsi"/>
          <w:sz w:val="20"/>
          <w:szCs w:val="20"/>
        </w:rPr>
        <w:t xml:space="preserve">della metodologia </w:t>
      </w:r>
      <w:r w:rsidR="00022931" w:rsidRPr="00CD7039">
        <w:rPr>
          <w:rFonts w:cstheme="minorHAnsi"/>
          <w:sz w:val="20"/>
          <w:szCs w:val="20"/>
        </w:rPr>
        <w:t xml:space="preserve">approvata dall’AdG con nota prot. n. </w:t>
      </w:r>
      <w:r w:rsidR="006F43FA" w:rsidRPr="00CD7039">
        <w:rPr>
          <w:rFonts w:cstheme="minorHAnsi"/>
          <w:sz w:val="20"/>
          <w:szCs w:val="20"/>
        </w:rPr>
        <w:t>12669 del 10/10/20023</w:t>
      </w:r>
      <w:r w:rsidRPr="00CD7039">
        <w:rPr>
          <w:rFonts w:cstheme="minorHAnsi"/>
          <w:sz w:val="20"/>
          <w:szCs w:val="20"/>
        </w:rPr>
        <w:t xml:space="preserve"> relativa alle UCS da utilizzare per il personale dipendente INAPP impegnato sulle operazioni cofinanziate dal </w:t>
      </w:r>
      <w:r w:rsidRPr="00CD7039">
        <w:rPr>
          <w:rFonts w:cstheme="minorHAnsi"/>
          <w:i/>
          <w:iCs/>
          <w:sz w:val="20"/>
          <w:szCs w:val="20"/>
        </w:rPr>
        <w:t>PN Giovani, Donne e Lavoro</w:t>
      </w:r>
      <w:r w:rsidRPr="00CD7039">
        <w:rPr>
          <w:rFonts w:cstheme="minorHAnsi"/>
          <w:sz w:val="20"/>
          <w:szCs w:val="20"/>
        </w:rPr>
        <w:t>. Infatti, s</w:t>
      </w:r>
      <w:r w:rsidR="00022931" w:rsidRPr="00CD7039">
        <w:rPr>
          <w:rFonts w:cstheme="minorHAnsi"/>
          <w:sz w:val="20"/>
          <w:szCs w:val="20"/>
        </w:rPr>
        <w:t xml:space="preserve">i è ritenuto opportuno rielaborare </w:t>
      </w:r>
      <w:r w:rsidRPr="00CD7039">
        <w:rPr>
          <w:rFonts w:cstheme="minorHAnsi"/>
          <w:sz w:val="20"/>
          <w:szCs w:val="20"/>
        </w:rPr>
        <w:t>i dati relativi sia al costo del personale e sia delle presenze medie dei dipendenti</w:t>
      </w:r>
      <w:r w:rsidR="00AB37A7" w:rsidRPr="00CD7039">
        <w:rPr>
          <w:rFonts w:cstheme="minorHAnsi"/>
          <w:sz w:val="20"/>
          <w:szCs w:val="20"/>
        </w:rPr>
        <w:t>,</w:t>
      </w:r>
      <w:r w:rsidRPr="00CD7039">
        <w:rPr>
          <w:rFonts w:cstheme="minorHAnsi"/>
          <w:sz w:val="20"/>
          <w:szCs w:val="20"/>
        </w:rPr>
        <w:t xml:space="preserve"> in quanto la precedente metodologia ha risentito dell’effetto della pandemia Covid-19.</w:t>
      </w:r>
      <w:r w:rsidR="00AB37A7" w:rsidRPr="00CD7039">
        <w:rPr>
          <w:rFonts w:cstheme="minorHAnsi"/>
          <w:sz w:val="20"/>
          <w:szCs w:val="20"/>
        </w:rPr>
        <w:t xml:space="preserve"> Tale elaborazione ha riguardato i dati registrati nel </w:t>
      </w:r>
      <w:r w:rsidR="0078214C" w:rsidRPr="00CD7039">
        <w:rPr>
          <w:rFonts w:cstheme="minorHAnsi"/>
          <w:sz w:val="20"/>
          <w:szCs w:val="20"/>
        </w:rPr>
        <w:t xml:space="preserve">triennio 2022/2024 per quanto riguarda le assenze medie del personale e del </w:t>
      </w:r>
      <w:r w:rsidR="00AB37A7" w:rsidRPr="00CD7039">
        <w:rPr>
          <w:rFonts w:cstheme="minorHAnsi"/>
          <w:sz w:val="20"/>
          <w:szCs w:val="20"/>
        </w:rPr>
        <w:t>quadriennio 2021/2024</w:t>
      </w:r>
      <w:r w:rsidR="0078214C" w:rsidRPr="00CD7039">
        <w:rPr>
          <w:rFonts w:cstheme="minorHAnsi"/>
          <w:sz w:val="20"/>
          <w:szCs w:val="20"/>
        </w:rPr>
        <w:t xml:space="preserve"> per quanto riguarda gli elementi che costituiscono il costo</w:t>
      </w:r>
      <w:r w:rsidR="00777753" w:rsidRPr="00CD7039">
        <w:rPr>
          <w:rFonts w:cstheme="minorHAnsi"/>
          <w:sz w:val="20"/>
          <w:szCs w:val="20"/>
        </w:rPr>
        <w:t xml:space="preserve"> medio </w:t>
      </w:r>
      <w:r w:rsidR="0078214C" w:rsidRPr="00CD7039">
        <w:rPr>
          <w:rFonts w:cstheme="minorHAnsi"/>
          <w:sz w:val="20"/>
          <w:szCs w:val="20"/>
        </w:rPr>
        <w:t>del personale</w:t>
      </w:r>
      <w:r w:rsidR="00AB37A7" w:rsidRPr="00CD7039">
        <w:rPr>
          <w:rFonts w:cstheme="minorHAnsi"/>
          <w:sz w:val="20"/>
          <w:szCs w:val="20"/>
        </w:rPr>
        <w:t>.</w:t>
      </w:r>
    </w:p>
    <w:p w14:paraId="46516FE0" w14:textId="7C6D57CD" w:rsidR="00874283" w:rsidRPr="005B6AE9" w:rsidRDefault="009A314A" w:rsidP="00214EF6">
      <w:pPr>
        <w:pStyle w:val="titolo10"/>
        <w:numPr>
          <w:ilvl w:val="0"/>
          <w:numId w:val="10"/>
        </w:numPr>
        <w:tabs>
          <w:tab w:val="clear" w:pos="709"/>
        </w:tabs>
        <w:ind w:left="360"/>
      </w:pPr>
      <w:bookmarkStart w:id="1" w:name="_Toc193355866"/>
      <w:r w:rsidRPr="005B6AE9">
        <w:t>Elementi metodologici di riferimento per l’individuazione del costo standard</w:t>
      </w:r>
      <w:bookmarkEnd w:id="1"/>
      <w:r w:rsidRPr="005B6AE9">
        <w:t xml:space="preserve"> </w:t>
      </w:r>
    </w:p>
    <w:p w14:paraId="5CD8618D" w14:textId="7A0B074F" w:rsidR="005D3C58" w:rsidRPr="00CD7039" w:rsidRDefault="005D3C58" w:rsidP="005D3C58">
      <w:pPr>
        <w:tabs>
          <w:tab w:val="left" w:pos="142"/>
        </w:tabs>
        <w:spacing w:after="120" w:line="240" w:lineRule="auto"/>
        <w:jc w:val="both"/>
        <w:rPr>
          <w:rFonts w:cstheme="minorHAnsi"/>
          <w:bCs/>
          <w:sz w:val="20"/>
          <w:szCs w:val="20"/>
        </w:rPr>
      </w:pPr>
      <w:r w:rsidRPr="00CD7039">
        <w:rPr>
          <w:rFonts w:cstheme="minorHAnsi"/>
          <w:sz w:val="20"/>
          <w:szCs w:val="20"/>
        </w:rPr>
        <w:t xml:space="preserve">Il presente documento descrive la metodologia di adozione delle UCS (Unità di Costo Standard) da applicare alla rendicontazione dei </w:t>
      </w:r>
      <w:r w:rsidRPr="00CD7039">
        <w:rPr>
          <w:rFonts w:cstheme="minorHAnsi"/>
          <w:bCs/>
          <w:sz w:val="20"/>
          <w:szCs w:val="20"/>
        </w:rPr>
        <w:t xml:space="preserve">costi del personale impiegato dall’OI INAPP nella realizzazione delle attività delle </w:t>
      </w:r>
      <w:r w:rsidR="003942DB" w:rsidRPr="00CD7039">
        <w:rPr>
          <w:rFonts w:cstheme="minorHAnsi"/>
          <w:bCs/>
          <w:sz w:val="20"/>
          <w:szCs w:val="20"/>
        </w:rPr>
        <w:t>azioni delegate</w:t>
      </w:r>
      <w:r w:rsidRPr="00CD7039">
        <w:rPr>
          <w:rFonts w:cstheme="minorHAnsi"/>
          <w:bCs/>
          <w:sz w:val="20"/>
          <w:szCs w:val="20"/>
        </w:rPr>
        <w:t xml:space="preserve">, a valere sul PON Giovani, Donne e Lavoro, che saranno contenute nel “Piano di attuazione INAPP” e nel “Piano </w:t>
      </w:r>
      <w:r w:rsidR="003942DB" w:rsidRPr="00CD7039">
        <w:rPr>
          <w:rFonts w:cstheme="minorHAnsi"/>
          <w:bCs/>
          <w:sz w:val="20"/>
          <w:szCs w:val="20"/>
        </w:rPr>
        <w:t>di dettaglio</w:t>
      </w:r>
      <w:r w:rsidRPr="00CD7039">
        <w:rPr>
          <w:rFonts w:cstheme="minorHAnsi"/>
          <w:bCs/>
          <w:sz w:val="20"/>
          <w:szCs w:val="20"/>
        </w:rPr>
        <w:t xml:space="preserve"> 2023/202</w:t>
      </w:r>
      <w:r w:rsidR="00AF2652" w:rsidRPr="00CD7039">
        <w:rPr>
          <w:rFonts w:cstheme="minorHAnsi"/>
          <w:bCs/>
          <w:sz w:val="20"/>
          <w:szCs w:val="20"/>
        </w:rPr>
        <w:t>6</w:t>
      </w:r>
      <w:r w:rsidRPr="00CD7039">
        <w:rPr>
          <w:rFonts w:cstheme="minorHAnsi"/>
          <w:bCs/>
          <w:sz w:val="20"/>
          <w:szCs w:val="20"/>
        </w:rPr>
        <w:t xml:space="preserve"> articolato per annualità”.</w:t>
      </w:r>
    </w:p>
    <w:p w14:paraId="742343E6" w14:textId="5C785C78" w:rsidR="005D3C58" w:rsidRPr="00CD7039" w:rsidRDefault="005D3C58" w:rsidP="005D3C58">
      <w:pPr>
        <w:tabs>
          <w:tab w:val="left" w:pos="142"/>
        </w:tabs>
        <w:spacing w:after="120" w:line="240" w:lineRule="auto"/>
        <w:jc w:val="both"/>
        <w:rPr>
          <w:rFonts w:cstheme="minorHAnsi"/>
          <w:sz w:val="20"/>
          <w:szCs w:val="20"/>
        </w:rPr>
      </w:pPr>
      <w:r w:rsidRPr="00CD7039">
        <w:rPr>
          <w:rFonts w:cstheme="minorHAnsi"/>
          <w:sz w:val="20"/>
          <w:szCs w:val="20"/>
        </w:rPr>
        <w:t xml:space="preserve">Il processo di semplificazione delle procedure per la gestione delle operazioni finanziate dal FSE risulta coerente con la normativa comunitaria per il periodo di programmazione 2021/2027 e, in particolare, con quanto previsto dall’art. 53 paragrafo 1 </w:t>
      </w:r>
      <w:proofErr w:type="spellStart"/>
      <w:r w:rsidRPr="00CD7039">
        <w:rPr>
          <w:rFonts w:cstheme="minorHAnsi"/>
          <w:sz w:val="20"/>
          <w:szCs w:val="20"/>
        </w:rPr>
        <w:t>let</w:t>
      </w:r>
      <w:proofErr w:type="spellEnd"/>
      <w:r w:rsidRPr="00CD7039">
        <w:rPr>
          <w:rFonts w:cstheme="minorHAnsi"/>
          <w:sz w:val="20"/>
          <w:szCs w:val="20"/>
        </w:rPr>
        <w:t>. b) del Reg. (UE) n. 1060/2021 “Forme di sovvenzioni”.</w:t>
      </w:r>
    </w:p>
    <w:p w14:paraId="170D31FA" w14:textId="07F0BB0E" w:rsidR="00874283" w:rsidRPr="00CD7039" w:rsidRDefault="005D3C58" w:rsidP="005D3C58">
      <w:pPr>
        <w:tabs>
          <w:tab w:val="left" w:pos="142"/>
        </w:tabs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cstheme="minorHAnsi"/>
          <w:sz w:val="20"/>
          <w:szCs w:val="20"/>
        </w:rPr>
        <w:t>Come noto, l’adozione delle Unità di Costo Standard ai fini della determinazione della quota pubblica da rimborsare, relativa alla voce di spesa “Personale”, comporta la semplificazione delle procedure di gestione e controllo. Ciò in quanto i pagamenti effettuati dai beneficiari non devono essere comprovati dai relativi giustificativi di spesa. Infatti, è sufficiente dare prova del corretto svolgimento dell’operazione o del raggiungimento dei risultati attraverso la compilazione di specifiche Relazioni delle attività svolte e la produzione dei time-</w:t>
      </w:r>
      <w:proofErr w:type="spellStart"/>
      <w:r w:rsidRPr="00CD7039">
        <w:rPr>
          <w:rFonts w:cstheme="minorHAnsi"/>
          <w:sz w:val="20"/>
          <w:szCs w:val="20"/>
        </w:rPr>
        <w:t>sheet</w:t>
      </w:r>
      <w:proofErr w:type="spellEnd"/>
      <w:r w:rsidRPr="00CD7039">
        <w:rPr>
          <w:rFonts w:cstheme="minorHAnsi"/>
          <w:sz w:val="20"/>
          <w:szCs w:val="20"/>
        </w:rPr>
        <w:t xml:space="preserve"> per ciascuna risorsa umana impiegata sull’operazione.</w:t>
      </w:r>
    </w:p>
    <w:p w14:paraId="704303E2" w14:textId="24727BF8" w:rsidR="00874283" w:rsidRPr="00214EF6" w:rsidRDefault="009A314A" w:rsidP="00214EF6">
      <w:pPr>
        <w:pStyle w:val="titolo10"/>
        <w:numPr>
          <w:ilvl w:val="0"/>
          <w:numId w:val="10"/>
        </w:numPr>
        <w:tabs>
          <w:tab w:val="clear" w:pos="709"/>
        </w:tabs>
        <w:ind w:left="360"/>
      </w:pPr>
      <w:bookmarkStart w:id="2" w:name="_Toc193355867"/>
      <w:r w:rsidRPr="00214EF6">
        <w:t>Modalità di determinazione delle UCS</w:t>
      </w:r>
      <w:bookmarkEnd w:id="2"/>
      <w:r w:rsidRPr="00214EF6">
        <w:t xml:space="preserve"> </w:t>
      </w:r>
    </w:p>
    <w:p w14:paraId="260C418A" w14:textId="7E4E97A6" w:rsidR="00316445" w:rsidRPr="00CD7039" w:rsidRDefault="00316445" w:rsidP="00316445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 xml:space="preserve">Conformemente a quanto previsto dall’articolo </w:t>
      </w:r>
      <w:r w:rsidR="005D3C58" w:rsidRPr="00CD7039">
        <w:rPr>
          <w:rFonts w:eastAsia="Verdana" w:cstheme="minorHAnsi"/>
          <w:sz w:val="20"/>
        </w:rPr>
        <w:t>53</w:t>
      </w:r>
      <w:r w:rsidRPr="00CD7039">
        <w:rPr>
          <w:rFonts w:eastAsia="Verdana" w:cstheme="minorHAnsi"/>
          <w:sz w:val="20"/>
        </w:rPr>
        <w:t xml:space="preserve"> </w:t>
      </w:r>
      <w:r w:rsidR="005D3C58" w:rsidRPr="00CD7039">
        <w:rPr>
          <w:rFonts w:eastAsia="Verdana" w:cstheme="minorHAnsi"/>
          <w:sz w:val="20"/>
        </w:rPr>
        <w:t xml:space="preserve">del </w:t>
      </w:r>
      <w:r w:rsidR="005D3C58" w:rsidRPr="00CD7039">
        <w:rPr>
          <w:rFonts w:cstheme="minorHAnsi"/>
          <w:sz w:val="20"/>
          <w:szCs w:val="20"/>
        </w:rPr>
        <w:t>Reg. (UE) n. 1060/2021</w:t>
      </w:r>
      <w:r w:rsidRPr="00CD7039">
        <w:rPr>
          <w:rFonts w:eastAsia="Verdana" w:cstheme="minorHAnsi"/>
          <w:sz w:val="20"/>
        </w:rPr>
        <w:t xml:space="preserve">, la metodologia utilizzata per il calcolo delle UCS per la voce di spesa “Personale” è stata determinata attraverso un metodo di calcolo giusto, equo e verificabile, basato su dati statistici o altre informazioni oggettive, ai sensi del paragrafo </w:t>
      </w:r>
      <w:r w:rsidR="00652560" w:rsidRPr="00CD7039">
        <w:rPr>
          <w:rFonts w:eastAsia="Verdana" w:cstheme="minorHAnsi"/>
          <w:sz w:val="20"/>
        </w:rPr>
        <w:t>3</w:t>
      </w:r>
      <w:r w:rsidRPr="00CD7039">
        <w:rPr>
          <w:rFonts w:eastAsia="Verdana" w:cstheme="minorHAnsi"/>
          <w:sz w:val="20"/>
        </w:rPr>
        <w:t xml:space="preserve"> lett. a) (i).</w:t>
      </w:r>
    </w:p>
    <w:p w14:paraId="18D1E9E4" w14:textId="77777777" w:rsidR="00874283" w:rsidRPr="0059044F" w:rsidRDefault="009A314A" w:rsidP="0059044F">
      <w:pPr>
        <w:pStyle w:val="titolo2"/>
        <w:ind w:left="792" w:hanging="432"/>
      </w:pPr>
      <w:bookmarkStart w:id="3" w:name="_Toc193355868"/>
      <w:r w:rsidRPr="0059044F">
        <w:t>3.1 Determinazione del contributo pubblico attraverso le UCS</w:t>
      </w:r>
      <w:bookmarkEnd w:id="3"/>
    </w:p>
    <w:p w14:paraId="5670D7AF" w14:textId="519ABF10" w:rsidR="00561AA7" w:rsidRPr="00CD7039" w:rsidRDefault="009A314A" w:rsidP="00561AA7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D7039">
        <w:rPr>
          <w:rFonts w:eastAsia="Verdana" w:cstheme="minorHAnsi"/>
          <w:color w:val="000000" w:themeColor="text1"/>
          <w:sz w:val="20"/>
        </w:rPr>
        <w:t xml:space="preserve">I dati considerati nella presente metodologia sono stati desunti dalla contrattazione collettiva. Il calcolo del costo orario è stato determinato </w:t>
      </w:r>
      <w:r w:rsidR="00561AA7" w:rsidRPr="00CD7039">
        <w:rPr>
          <w:rFonts w:cstheme="minorHAnsi"/>
          <w:sz w:val="20"/>
          <w:szCs w:val="20"/>
        </w:rPr>
        <w:t>sulla base del Contratto Collettivo Nazionale di Lavoro (CCNL) “Istruzione e Ricerca” settore Ricerca,</w:t>
      </w:r>
      <w:r w:rsidR="00FC77C4" w:rsidRPr="00CD7039">
        <w:rPr>
          <w:rFonts w:cstheme="minorHAnsi"/>
          <w:sz w:val="20"/>
          <w:szCs w:val="20"/>
        </w:rPr>
        <w:t xml:space="preserve"> vigente nel periodo</w:t>
      </w:r>
      <w:r w:rsidR="00561AA7" w:rsidRPr="00CD7039">
        <w:rPr>
          <w:rFonts w:cstheme="minorHAnsi"/>
          <w:sz w:val="20"/>
          <w:szCs w:val="20"/>
        </w:rPr>
        <w:t xml:space="preserve"> </w:t>
      </w:r>
      <w:proofErr w:type="spellStart"/>
      <w:r w:rsidR="00561AA7" w:rsidRPr="00CD7039">
        <w:rPr>
          <w:rFonts w:cstheme="minorHAnsi"/>
          <w:sz w:val="20"/>
          <w:szCs w:val="20"/>
        </w:rPr>
        <w:t>periodo</w:t>
      </w:r>
      <w:proofErr w:type="spellEnd"/>
      <w:r w:rsidR="00561AA7" w:rsidRPr="00CD7039">
        <w:rPr>
          <w:rFonts w:cstheme="minorHAnsi"/>
          <w:sz w:val="20"/>
          <w:szCs w:val="20"/>
        </w:rPr>
        <w:t xml:space="preserve"> 202</w:t>
      </w:r>
      <w:r w:rsidR="00FC77C4" w:rsidRPr="00CD7039">
        <w:rPr>
          <w:rFonts w:cstheme="minorHAnsi"/>
          <w:sz w:val="20"/>
          <w:szCs w:val="20"/>
        </w:rPr>
        <w:t>1</w:t>
      </w:r>
      <w:r w:rsidR="00561AA7" w:rsidRPr="00CD7039">
        <w:rPr>
          <w:rFonts w:cstheme="minorHAnsi"/>
          <w:sz w:val="20"/>
          <w:szCs w:val="20"/>
        </w:rPr>
        <w:t>-202</w:t>
      </w:r>
      <w:r w:rsidR="00FC77C4" w:rsidRPr="00CD7039">
        <w:rPr>
          <w:rFonts w:cstheme="minorHAnsi"/>
          <w:sz w:val="20"/>
          <w:szCs w:val="20"/>
        </w:rPr>
        <w:t>4</w:t>
      </w:r>
      <w:r w:rsidR="00EF3685">
        <w:rPr>
          <w:rFonts w:cstheme="minorHAnsi"/>
          <w:sz w:val="20"/>
          <w:szCs w:val="20"/>
        </w:rPr>
        <w:t xml:space="preserve"> (cfr. Allegato 1 e 2)</w:t>
      </w:r>
      <w:r w:rsidR="00561AA7" w:rsidRPr="00CD7039">
        <w:rPr>
          <w:rFonts w:cstheme="minorHAnsi"/>
          <w:sz w:val="20"/>
          <w:szCs w:val="20"/>
        </w:rPr>
        <w:t>.</w:t>
      </w:r>
    </w:p>
    <w:p w14:paraId="3F2CBEE2" w14:textId="146B42F7" w:rsidR="00874283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Per la determinazione delle UCS sono stati definiti i seguenti valori per ciascuna qualifica, livello e fascia:</w:t>
      </w:r>
    </w:p>
    <w:p w14:paraId="32A3C908" w14:textId="77777777" w:rsidR="00874283" w:rsidRPr="00CD7039" w:rsidRDefault="009A314A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lo stipendio base tabellare annuale (comprensivo di tredicesima mensilità);</w:t>
      </w:r>
    </w:p>
    <w:p w14:paraId="50640515" w14:textId="77777777" w:rsidR="00874283" w:rsidRPr="00CD7039" w:rsidRDefault="009A314A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l’importo complessivo annuo del trattamento accessorio;</w:t>
      </w:r>
    </w:p>
    <w:p w14:paraId="2823D3EB" w14:textId="11055F06" w:rsidR="00874283" w:rsidRPr="00CD7039" w:rsidRDefault="009A314A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l’importo complessivo annuo degli oneri previdenziali e assicurativi, compresa la quota IRAP annua;</w:t>
      </w:r>
    </w:p>
    <w:p w14:paraId="01859752" w14:textId="77777777" w:rsidR="00874283" w:rsidRPr="00CD7039" w:rsidRDefault="009A314A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il costo annuo lordo;</w:t>
      </w:r>
    </w:p>
    <w:p w14:paraId="7D0ADA0F" w14:textId="1FAA45FD" w:rsidR="00874283" w:rsidRPr="00CD7039" w:rsidRDefault="009A314A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 xml:space="preserve">gli importi complessivi annui riferiti ai buoni pasto e alla produttività, attraverso la costruzione di una serie storica che comprende le annualità </w:t>
      </w:r>
      <w:r w:rsidR="00E52CF0" w:rsidRPr="00CD7039">
        <w:rPr>
          <w:rFonts w:eastAsia="Verdana" w:cstheme="minorHAnsi"/>
          <w:sz w:val="20"/>
        </w:rPr>
        <w:t>2021/2024</w:t>
      </w:r>
      <w:r w:rsidRPr="00CD7039">
        <w:rPr>
          <w:rFonts w:eastAsia="Verdana" w:cstheme="minorHAnsi"/>
          <w:sz w:val="20"/>
        </w:rPr>
        <w:t>;</w:t>
      </w:r>
    </w:p>
    <w:p w14:paraId="7C5550EF" w14:textId="03940731" w:rsidR="00D058ED" w:rsidRPr="00CD7039" w:rsidRDefault="00D058ED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i costi medi della formazione del personale;</w:t>
      </w:r>
    </w:p>
    <w:p w14:paraId="0222E96E" w14:textId="603FAF10" w:rsidR="007547C8" w:rsidRPr="00CD7039" w:rsidRDefault="009A314A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eastAsia="Verdana" w:cstheme="minorHAnsi"/>
          <w:color w:val="000000" w:themeColor="text1"/>
          <w:sz w:val="20"/>
        </w:rPr>
      </w:pPr>
      <w:r w:rsidRPr="00CD7039">
        <w:rPr>
          <w:rFonts w:eastAsia="Verdana" w:cstheme="minorHAnsi"/>
          <w:color w:val="000000" w:themeColor="text1"/>
          <w:sz w:val="20"/>
        </w:rPr>
        <w:t>il monte ore complessivo annuo di ore lavorate attraverso la costruzione di una serie storica che comprende</w:t>
      </w:r>
      <w:r w:rsidR="00561AA7" w:rsidRPr="00CD7039">
        <w:rPr>
          <w:rFonts w:eastAsia="Verdana" w:cstheme="minorHAnsi"/>
          <w:color w:val="000000" w:themeColor="text1"/>
          <w:sz w:val="20"/>
        </w:rPr>
        <w:t xml:space="preserve"> le annualità 202</w:t>
      </w:r>
      <w:r w:rsidR="00F63D5F" w:rsidRPr="00CD7039">
        <w:rPr>
          <w:rFonts w:eastAsia="Verdana" w:cstheme="minorHAnsi"/>
          <w:color w:val="000000" w:themeColor="text1"/>
          <w:sz w:val="20"/>
        </w:rPr>
        <w:t>2</w:t>
      </w:r>
      <w:r w:rsidR="006F550B" w:rsidRPr="00CD7039">
        <w:rPr>
          <w:rFonts w:eastAsia="Verdana" w:cstheme="minorHAnsi"/>
          <w:color w:val="000000" w:themeColor="text1"/>
          <w:sz w:val="20"/>
        </w:rPr>
        <w:t>/</w:t>
      </w:r>
      <w:r w:rsidR="00FC77C4" w:rsidRPr="00CD7039">
        <w:rPr>
          <w:rFonts w:eastAsia="Verdana" w:cstheme="minorHAnsi"/>
          <w:color w:val="000000" w:themeColor="text1"/>
          <w:sz w:val="20"/>
        </w:rPr>
        <w:t>2024</w:t>
      </w:r>
    </w:p>
    <w:p w14:paraId="0A58872F" w14:textId="77777777" w:rsidR="00874283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lastRenderedPageBreak/>
        <w:t xml:space="preserve">Tenendo conto dei </w:t>
      </w:r>
      <w:proofErr w:type="gramStart"/>
      <w:r w:rsidRPr="00CD7039">
        <w:rPr>
          <w:rFonts w:eastAsia="Verdana" w:cstheme="minorHAnsi"/>
          <w:sz w:val="20"/>
        </w:rPr>
        <w:t>predetti</w:t>
      </w:r>
      <w:proofErr w:type="gramEnd"/>
      <w:r w:rsidRPr="00CD7039">
        <w:rPr>
          <w:rFonts w:eastAsia="Verdana" w:cstheme="minorHAnsi"/>
          <w:sz w:val="20"/>
        </w:rPr>
        <w:t xml:space="preserve"> valori, sono state quindi definite le UCS in relazione a ciascuna qualifica, livello e fascia.</w:t>
      </w:r>
    </w:p>
    <w:p w14:paraId="13221E3C" w14:textId="77777777" w:rsidR="00874283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Di seguito, si provvede a descrivere il processo che ha portato alla definizione delle UCS.</w:t>
      </w:r>
    </w:p>
    <w:p w14:paraId="1EEEA0F1" w14:textId="77777777" w:rsidR="00874283" w:rsidRPr="00CD7039" w:rsidRDefault="009A314A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Verdana" w:cstheme="minorHAnsi"/>
          <w:sz w:val="20"/>
          <w:u w:val="single"/>
        </w:rPr>
      </w:pPr>
      <w:r w:rsidRPr="00CD7039">
        <w:rPr>
          <w:rFonts w:eastAsia="Verdana" w:cstheme="minorHAnsi"/>
          <w:sz w:val="20"/>
          <w:u w:val="single"/>
        </w:rPr>
        <w:t>Definizione dello stipendio base tabellare annuale</w:t>
      </w:r>
    </w:p>
    <w:p w14:paraId="43A104EC" w14:textId="31C15AE9" w:rsidR="00874283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Questo valore è composto dalla somma, su base annuale (ovvero 13 mensilità), dello stipendio base tabellare mensile, l’indennità di vacanza contrattuale e l’elemento perequativo (laddove previsto). È stato preso a riferimento il trattamento tabellare corrispondente al profilo di assunzione delle diverse qualifiche (Dirigente di ricerca e dirigente tecnologo; Primo ricercatore e primo tecnologo; Ricercatore e tecnologo; CTER – Funzionario amministrativo; Ausiliario tecnico – Operatore tecnico – Operatore amministrativo),</w:t>
      </w:r>
      <w:r w:rsidR="00652560" w:rsidRPr="00CD7039">
        <w:rPr>
          <w:rFonts w:eastAsia="Verdana" w:cstheme="minorHAnsi"/>
          <w:sz w:val="20"/>
        </w:rPr>
        <w:t xml:space="preserve"> </w:t>
      </w:r>
      <w:r w:rsidRPr="00CD7039">
        <w:rPr>
          <w:rFonts w:eastAsia="Verdana" w:cstheme="minorHAnsi"/>
          <w:sz w:val="20"/>
        </w:rPr>
        <w:t>considerando le varie posizioni economiche desunte dalle tabelle allegate al CCNL di riferimento (</w:t>
      </w:r>
      <w:r w:rsidRPr="00CD7039">
        <w:rPr>
          <w:rFonts w:eastAsia="Verdana" w:cstheme="minorHAnsi"/>
          <w:i/>
          <w:sz w:val="20"/>
        </w:rPr>
        <w:t>es. Livello1,2,3</w:t>
      </w:r>
      <w:r w:rsidRPr="00CD7039">
        <w:rPr>
          <w:rFonts w:eastAsia="Verdana" w:cstheme="minorHAnsi"/>
          <w:sz w:val="20"/>
        </w:rPr>
        <w:t>).</w:t>
      </w:r>
    </w:p>
    <w:p w14:paraId="134698E2" w14:textId="77777777" w:rsidR="00874283" w:rsidRPr="00CD7039" w:rsidRDefault="00874283">
      <w:pPr>
        <w:spacing w:after="120" w:line="240" w:lineRule="auto"/>
        <w:jc w:val="both"/>
        <w:rPr>
          <w:rFonts w:eastAsia="Verdana" w:cstheme="minorHAnsi"/>
          <w:sz w:val="10"/>
        </w:rPr>
      </w:pPr>
    </w:p>
    <w:p w14:paraId="1663C84E" w14:textId="77777777" w:rsidR="00874283" w:rsidRPr="00CD7039" w:rsidRDefault="009A314A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eastAsia="Verdana" w:cstheme="minorHAnsi"/>
          <w:sz w:val="20"/>
          <w:u w:val="single"/>
        </w:rPr>
      </w:pPr>
      <w:r w:rsidRPr="00CD7039">
        <w:rPr>
          <w:rFonts w:eastAsia="Verdana" w:cstheme="minorHAnsi"/>
          <w:sz w:val="20"/>
          <w:u w:val="single"/>
        </w:rPr>
        <w:t>Definizione dell’importo complessivo annuale del trattamento accessorio</w:t>
      </w:r>
    </w:p>
    <w:p w14:paraId="0D0826A4" w14:textId="77777777" w:rsidR="00874283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 xml:space="preserve">Questo valore è composto dalla somma, su base annuale (ovvero 13 mensilità), dell’indennità di valorizzazione professionale mensile e l’indennità oneri specifici mensili. </w:t>
      </w:r>
    </w:p>
    <w:p w14:paraId="0CBF0DF0" w14:textId="77777777" w:rsidR="00874283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Si specifica che per il trattamento relativo ai super I-II-III previsto per le seguenti figure:</w:t>
      </w:r>
    </w:p>
    <w:p w14:paraId="1886780C" w14:textId="77777777" w:rsidR="00874283" w:rsidRPr="00CD7039" w:rsidRDefault="009A314A">
      <w:pPr>
        <w:numPr>
          <w:ilvl w:val="0"/>
          <w:numId w:val="6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Collaboratore tecnico IV, V e VI livello;</w:t>
      </w:r>
    </w:p>
    <w:p w14:paraId="79B81F40" w14:textId="77777777" w:rsidR="00874283" w:rsidRPr="00CD7039" w:rsidRDefault="009A314A">
      <w:pPr>
        <w:numPr>
          <w:ilvl w:val="0"/>
          <w:numId w:val="6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Funzionario Amministrativo IV e V livello;</w:t>
      </w:r>
    </w:p>
    <w:p w14:paraId="2793D19D" w14:textId="77777777" w:rsidR="00874283" w:rsidRPr="00CD7039" w:rsidRDefault="009A314A">
      <w:pPr>
        <w:numPr>
          <w:ilvl w:val="0"/>
          <w:numId w:val="6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Collaboratore amministrativo V, VI e VII livello;</w:t>
      </w:r>
    </w:p>
    <w:p w14:paraId="6CDD3525" w14:textId="77777777" w:rsidR="00874283" w:rsidRPr="00CD7039" w:rsidRDefault="009A314A">
      <w:pPr>
        <w:numPr>
          <w:ilvl w:val="0"/>
          <w:numId w:val="6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Operatore tecnico VI, VII e VIII livello;</w:t>
      </w:r>
    </w:p>
    <w:p w14:paraId="7D4CC6B9" w14:textId="77777777" w:rsidR="00874283" w:rsidRPr="00CD7039" w:rsidRDefault="009A314A">
      <w:pPr>
        <w:numPr>
          <w:ilvl w:val="0"/>
          <w:numId w:val="6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Operatore amministrativo VII e VIII livello;</w:t>
      </w:r>
    </w:p>
    <w:p w14:paraId="44DACE4A" w14:textId="499F463F" w:rsidR="00AC6A8A" w:rsidRPr="00CD7039" w:rsidRDefault="009A314A" w:rsidP="00DB6ACB">
      <w:pPr>
        <w:numPr>
          <w:ilvl w:val="0"/>
          <w:numId w:val="6"/>
        </w:numPr>
        <w:spacing w:after="120" w:line="240" w:lineRule="auto"/>
        <w:ind w:left="720" w:hanging="360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Ausiliario tecnico VIII livello</w:t>
      </w:r>
      <w:r w:rsidR="00AC6A8A" w:rsidRPr="00CD7039">
        <w:rPr>
          <w:rFonts w:eastAsia="Verdana" w:cstheme="minorHAnsi"/>
          <w:sz w:val="20"/>
        </w:rPr>
        <w:t>.</w:t>
      </w:r>
    </w:p>
    <w:p w14:paraId="2C0342AD" w14:textId="062BDBF2" w:rsidR="00874283" w:rsidRPr="00CD7039" w:rsidRDefault="000F03A4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P</w:t>
      </w:r>
      <w:r w:rsidR="009A314A" w:rsidRPr="00CD7039">
        <w:rPr>
          <w:rFonts w:eastAsia="Verdana" w:cstheme="minorHAnsi"/>
          <w:sz w:val="20"/>
        </w:rPr>
        <w:t>er le indennità di direzione struttura per i livelli I-III e per le indennità di responsabilità e posizione per i livelli IV-VIII</w:t>
      </w:r>
      <w:r w:rsidRPr="00CD7039">
        <w:rPr>
          <w:rFonts w:eastAsia="Verdana" w:cstheme="minorHAnsi"/>
          <w:sz w:val="20"/>
        </w:rPr>
        <w:t>, sono stati calcolati i valori medi ponderati</w:t>
      </w:r>
      <w:r w:rsidR="00DB6ACB" w:rsidRPr="00CD7039">
        <w:rPr>
          <w:rFonts w:eastAsia="Verdana" w:cstheme="minorHAnsi"/>
          <w:sz w:val="20"/>
        </w:rPr>
        <w:t xml:space="preserve"> del </w:t>
      </w:r>
      <w:r w:rsidR="000E2BFC" w:rsidRPr="00CD7039">
        <w:rPr>
          <w:rFonts w:eastAsia="Verdana" w:cstheme="minorHAnsi"/>
          <w:sz w:val="20"/>
        </w:rPr>
        <w:t xml:space="preserve">quadriennio </w:t>
      </w:r>
      <w:r w:rsidR="00DB6ACB" w:rsidRPr="00CD7039">
        <w:rPr>
          <w:rFonts w:eastAsia="Verdana" w:cstheme="minorHAnsi"/>
          <w:sz w:val="20"/>
        </w:rPr>
        <w:t>202</w:t>
      </w:r>
      <w:r w:rsidR="0056294D" w:rsidRPr="00CD7039">
        <w:rPr>
          <w:rFonts w:eastAsia="Verdana" w:cstheme="minorHAnsi"/>
          <w:sz w:val="20"/>
        </w:rPr>
        <w:t>1</w:t>
      </w:r>
      <w:r w:rsidR="00DB6ACB" w:rsidRPr="00CD7039">
        <w:rPr>
          <w:rFonts w:eastAsia="Verdana" w:cstheme="minorHAnsi"/>
          <w:sz w:val="20"/>
        </w:rPr>
        <w:t>-202</w:t>
      </w:r>
      <w:r w:rsidR="00E24387" w:rsidRPr="00CD7039">
        <w:rPr>
          <w:rFonts w:eastAsia="Verdana" w:cstheme="minorHAnsi"/>
          <w:sz w:val="20"/>
        </w:rPr>
        <w:t>4</w:t>
      </w:r>
      <w:r w:rsidRPr="00CD7039">
        <w:rPr>
          <w:rFonts w:eastAsia="Verdana" w:cstheme="minorHAnsi"/>
          <w:sz w:val="20"/>
        </w:rPr>
        <w:t xml:space="preserve">. </w:t>
      </w:r>
    </w:p>
    <w:p w14:paraId="1421B826" w14:textId="77777777" w:rsidR="008855B6" w:rsidRPr="00CD7039" w:rsidRDefault="008855B6">
      <w:pPr>
        <w:spacing w:after="120" w:line="240" w:lineRule="auto"/>
        <w:jc w:val="both"/>
        <w:rPr>
          <w:rFonts w:eastAsia="Verdana" w:cstheme="minorHAnsi"/>
          <w:sz w:val="10"/>
        </w:rPr>
      </w:pPr>
    </w:p>
    <w:p w14:paraId="6CA2405A" w14:textId="4DCCF11D" w:rsidR="00874283" w:rsidRPr="00520837" w:rsidRDefault="009A314A" w:rsidP="00520837">
      <w:pPr>
        <w:pStyle w:val="titolo2"/>
        <w:ind w:left="792" w:hanging="432"/>
      </w:pPr>
      <w:r w:rsidRPr="00520837">
        <w:t>3</w:t>
      </w:r>
      <w:r w:rsidR="00520837">
        <w:t>.4</w:t>
      </w:r>
      <w:r w:rsidRPr="00520837">
        <w:t xml:space="preserve"> - Definizione degli oneri previdenziali e assicurativi</w:t>
      </w:r>
    </w:p>
    <w:p w14:paraId="278B9F87" w14:textId="77777777" w:rsidR="00874283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Questo valore è composto dalla somma, su base annuale (ovvero 13 mensilità), dell</w:t>
      </w:r>
      <w:r w:rsidR="00D0013B" w:rsidRPr="00CD7039">
        <w:rPr>
          <w:rFonts w:eastAsia="Verdana" w:cstheme="minorHAnsi"/>
          <w:sz w:val="20"/>
        </w:rPr>
        <w:t>e</w:t>
      </w:r>
      <w:r w:rsidRPr="00CD7039">
        <w:rPr>
          <w:rFonts w:eastAsia="Verdana" w:cstheme="minorHAnsi"/>
          <w:sz w:val="20"/>
        </w:rPr>
        <w:t xml:space="preserve"> quot</w:t>
      </w:r>
      <w:r w:rsidR="00D0013B" w:rsidRPr="00CD7039">
        <w:rPr>
          <w:rFonts w:eastAsia="Verdana" w:cstheme="minorHAnsi"/>
          <w:sz w:val="20"/>
        </w:rPr>
        <w:t>e</w:t>
      </w:r>
      <w:r w:rsidRPr="00CD7039">
        <w:rPr>
          <w:rFonts w:eastAsia="Verdana" w:cstheme="minorHAnsi"/>
          <w:sz w:val="20"/>
        </w:rPr>
        <w:t xml:space="preserve"> di TFR, INPS, INPDAP, INPGI e l’ENPDEP</w:t>
      </w:r>
      <w:r w:rsidR="00D0013B" w:rsidRPr="00CD7039">
        <w:rPr>
          <w:rFonts w:eastAsia="Verdana" w:cstheme="minorHAnsi"/>
          <w:sz w:val="20"/>
        </w:rPr>
        <w:t xml:space="preserve"> previste dalle norme vigenti</w:t>
      </w:r>
      <w:r w:rsidRPr="00CD7039">
        <w:rPr>
          <w:rFonts w:eastAsia="Verdana" w:cstheme="minorHAnsi"/>
          <w:sz w:val="20"/>
        </w:rPr>
        <w:t>.</w:t>
      </w:r>
    </w:p>
    <w:p w14:paraId="3273C800" w14:textId="77777777" w:rsidR="00874283" w:rsidRPr="00CD7039" w:rsidRDefault="00874283">
      <w:pPr>
        <w:spacing w:after="120" w:line="240" w:lineRule="auto"/>
        <w:jc w:val="both"/>
        <w:rPr>
          <w:rFonts w:eastAsia="Verdana" w:cstheme="minorHAnsi"/>
          <w:sz w:val="10"/>
        </w:rPr>
      </w:pPr>
    </w:p>
    <w:p w14:paraId="1ECC6631" w14:textId="6D51C9E8" w:rsidR="00874283" w:rsidRPr="00520837" w:rsidRDefault="009A314A" w:rsidP="00520837">
      <w:pPr>
        <w:pStyle w:val="titolo10"/>
        <w:numPr>
          <w:ilvl w:val="0"/>
          <w:numId w:val="10"/>
        </w:numPr>
        <w:tabs>
          <w:tab w:val="clear" w:pos="709"/>
        </w:tabs>
        <w:ind w:left="360"/>
      </w:pPr>
      <w:r w:rsidRPr="00520837">
        <w:t>Definizione del costo annuo lordo.</w:t>
      </w:r>
    </w:p>
    <w:p w14:paraId="22793680" w14:textId="77777777" w:rsidR="00A31686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 xml:space="preserve">Questo valore è composto dalla somma, </w:t>
      </w:r>
      <w:r w:rsidR="00A31686" w:rsidRPr="00CD7039">
        <w:rPr>
          <w:rFonts w:eastAsia="Verdana" w:cstheme="minorHAnsi"/>
          <w:sz w:val="20"/>
        </w:rPr>
        <w:t>della retribuzione effettiva annua lorda, con esclusione dei compensi per lavoro straordinario, maggiorata degli oneri previdenziali e assicurativi di legge o contrattuali, anche differiti</w:t>
      </w:r>
      <w:r w:rsidR="00A31686" w:rsidRPr="00CD7039">
        <w:rPr>
          <w:rFonts w:cstheme="minorHAnsi"/>
        </w:rPr>
        <w:t xml:space="preserve"> </w:t>
      </w:r>
      <w:r w:rsidR="00A31686" w:rsidRPr="00CD7039">
        <w:rPr>
          <w:rFonts w:eastAsia="Verdana" w:cstheme="minorHAnsi"/>
          <w:sz w:val="20"/>
        </w:rPr>
        <w:t xml:space="preserve">comprensivi di rateo TFR, </w:t>
      </w:r>
      <w:proofErr w:type="gramStart"/>
      <w:r w:rsidR="00A31686" w:rsidRPr="00CD7039">
        <w:rPr>
          <w:rFonts w:eastAsia="Verdana" w:cstheme="minorHAnsi"/>
          <w:sz w:val="20"/>
        </w:rPr>
        <w:t>13ma</w:t>
      </w:r>
      <w:proofErr w:type="gramEnd"/>
      <w:r w:rsidR="00A31686" w:rsidRPr="00CD7039">
        <w:rPr>
          <w:rFonts w:eastAsia="Verdana" w:cstheme="minorHAnsi"/>
          <w:sz w:val="20"/>
        </w:rPr>
        <w:t xml:space="preserve"> e la quota IRAP</w:t>
      </w:r>
      <w:r w:rsidR="00A75191" w:rsidRPr="00CD7039">
        <w:rPr>
          <w:rFonts w:eastAsia="Verdana" w:cstheme="minorHAnsi"/>
          <w:sz w:val="20"/>
        </w:rPr>
        <w:t>.</w:t>
      </w:r>
    </w:p>
    <w:p w14:paraId="1F2C9808" w14:textId="77777777" w:rsidR="00874283" w:rsidRPr="00CD7039" w:rsidRDefault="00874283">
      <w:pPr>
        <w:spacing w:after="120" w:line="240" w:lineRule="auto"/>
        <w:jc w:val="both"/>
        <w:rPr>
          <w:rFonts w:eastAsia="Verdana" w:cstheme="minorHAnsi"/>
          <w:sz w:val="10"/>
        </w:rPr>
      </w:pPr>
    </w:p>
    <w:p w14:paraId="0CD121FB" w14:textId="33F72DAC" w:rsidR="00874283" w:rsidRPr="00520837" w:rsidRDefault="009A314A" w:rsidP="00520837">
      <w:pPr>
        <w:pStyle w:val="titolo10"/>
        <w:numPr>
          <w:ilvl w:val="0"/>
          <w:numId w:val="10"/>
        </w:numPr>
        <w:tabs>
          <w:tab w:val="clear" w:pos="709"/>
        </w:tabs>
        <w:ind w:left="360"/>
      </w:pPr>
      <w:r w:rsidRPr="00520837">
        <w:t>Definizione degli importi su base annua riferiti ai buoni pasto e alla produttività</w:t>
      </w:r>
    </w:p>
    <w:p w14:paraId="0BC59C93" w14:textId="18E0B09E" w:rsidR="00874283" w:rsidRPr="00CD7039" w:rsidRDefault="009A314A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 xml:space="preserve">Al fine di computare la quota annua complessiva riferita ai buoni pasto </w:t>
      </w:r>
      <w:r w:rsidR="00DB6ACB" w:rsidRPr="00CD7039">
        <w:rPr>
          <w:rFonts w:eastAsia="Verdana" w:cstheme="minorHAnsi"/>
          <w:sz w:val="20"/>
        </w:rPr>
        <w:t xml:space="preserve">è stata costruita una serie storica, prendendo in considerazione </w:t>
      </w:r>
      <w:r w:rsidR="00874609" w:rsidRPr="00CD7039">
        <w:rPr>
          <w:rFonts w:eastAsia="Verdana" w:cstheme="minorHAnsi"/>
          <w:sz w:val="20"/>
        </w:rPr>
        <w:t>il periodo 2021/2024</w:t>
      </w:r>
      <w:r w:rsidR="00DB6ACB" w:rsidRPr="00CD7039">
        <w:rPr>
          <w:rFonts w:eastAsia="Verdana" w:cstheme="minorHAnsi"/>
          <w:sz w:val="20"/>
        </w:rPr>
        <w:t xml:space="preserve"> ed è stato calcolato il valore medio per singolo dipendente</w:t>
      </w:r>
      <w:r w:rsidR="003A4470" w:rsidRPr="00CD7039">
        <w:rPr>
          <w:rFonts w:eastAsia="Verdana" w:cstheme="minorHAnsi"/>
          <w:sz w:val="20"/>
        </w:rPr>
        <w:t xml:space="preserve">. Analogamente, in merito alla </w:t>
      </w:r>
      <w:r w:rsidRPr="00CD7039">
        <w:rPr>
          <w:rFonts w:eastAsia="Verdana" w:cstheme="minorHAnsi"/>
          <w:sz w:val="20"/>
        </w:rPr>
        <w:t>produttività,</w:t>
      </w:r>
      <w:r w:rsidR="00DB6ACB" w:rsidRPr="00CD7039">
        <w:rPr>
          <w:rFonts w:eastAsia="Verdana" w:cstheme="minorHAnsi"/>
          <w:sz w:val="20"/>
        </w:rPr>
        <w:t xml:space="preserve"> </w:t>
      </w:r>
      <w:r w:rsidR="00DB6ACB" w:rsidRPr="00CD7039">
        <w:rPr>
          <w:rFonts w:eastAsia="Verdana" w:cstheme="minorHAnsi"/>
          <w:color w:val="000000" w:themeColor="text1"/>
          <w:sz w:val="20"/>
        </w:rPr>
        <w:t xml:space="preserve">che riguarda solo il personale con livello IV-VIII, è stato calcolato il valore medio </w:t>
      </w:r>
      <w:r w:rsidR="003A4470" w:rsidRPr="00CD7039">
        <w:rPr>
          <w:rFonts w:eastAsia="Verdana" w:cstheme="minorHAnsi"/>
          <w:color w:val="000000" w:themeColor="text1"/>
          <w:sz w:val="20"/>
        </w:rPr>
        <w:t>del medesimo periodo</w:t>
      </w:r>
      <w:r w:rsidR="00DB6ACB" w:rsidRPr="00CD7039">
        <w:rPr>
          <w:rFonts w:eastAsia="Verdana" w:cstheme="minorHAnsi"/>
          <w:color w:val="000000" w:themeColor="text1"/>
          <w:sz w:val="20"/>
        </w:rPr>
        <w:t>.</w:t>
      </w:r>
    </w:p>
    <w:p w14:paraId="37146D3F" w14:textId="5AF2708B" w:rsidR="00874283" w:rsidRPr="00520837" w:rsidRDefault="009A314A" w:rsidP="00520837">
      <w:pPr>
        <w:pStyle w:val="titolo10"/>
        <w:numPr>
          <w:ilvl w:val="0"/>
          <w:numId w:val="10"/>
        </w:numPr>
        <w:tabs>
          <w:tab w:val="clear" w:pos="709"/>
        </w:tabs>
        <w:ind w:left="360"/>
      </w:pPr>
      <w:r w:rsidRPr="00520837">
        <w:lastRenderedPageBreak/>
        <w:t>Definizione del monte ore lavorate su base annua</w:t>
      </w:r>
    </w:p>
    <w:p w14:paraId="48DFD5E6" w14:textId="77777777" w:rsidR="003B7D4D" w:rsidRPr="00CD7039" w:rsidRDefault="004D6283" w:rsidP="004D628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D7039">
        <w:rPr>
          <w:rFonts w:cstheme="minorHAnsi"/>
          <w:sz w:val="20"/>
          <w:szCs w:val="20"/>
        </w:rPr>
        <w:t>Al fine di computare le ore riferite al monte ore annuo lavorate, è stata costruita una serie storica riferita alle annualità 2022/2024</w:t>
      </w:r>
      <w:r w:rsidR="0006205A" w:rsidRPr="00CD7039">
        <w:rPr>
          <w:rFonts w:cstheme="minorHAnsi"/>
          <w:sz w:val="20"/>
          <w:szCs w:val="20"/>
        </w:rPr>
        <w:t xml:space="preserve"> (escludendo l’annualità 2021 che risente degli effetti distorsivi del Covid-19)</w:t>
      </w:r>
      <w:r w:rsidRPr="00CD7039">
        <w:rPr>
          <w:rFonts w:cstheme="minorHAnsi"/>
          <w:sz w:val="20"/>
          <w:szCs w:val="20"/>
        </w:rPr>
        <w:t xml:space="preserve">, al netto delle voci ferie e festività che sono state computate secondo il CCNL di riferimento. </w:t>
      </w:r>
    </w:p>
    <w:p w14:paraId="4C68AEF2" w14:textId="192A98CC" w:rsidR="0038338B" w:rsidRPr="00CD7039" w:rsidRDefault="003B7D4D" w:rsidP="004D628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3877EB">
        <w:rPr>
          <w:rFonts w:cstheme="minorHAnsi"/>
          <w:sz w:val="20"/>
          <w:szCs w:val="20"/>
        </w:rPr>
        <w:t xml:space="preserve">Si specifica che </w:t>
      </w:r>
      <w:r w:rsidR="00A63032" w:rsidRPr="003877EB">
        <w:rPr>
          <w:rFonts w:cstheme="minorHAnsi"/>
          <w:sz w:val="20"/>
          <w:szCs w:val="20"/>
        </w:rPr>
        <w:t xml:space="preserve">il 1° </w:t>
      </w:r>
      <w:r w:rsidRPr="003877EB">
        <w:rPr>
          <w:rFonts w:cstheme="minorHAnsi"/>
          <w:sz w:val="20"/>
          <w:szCs w:val="20"/>
        </w:rPr>
        <w:t>marzo 2024</w:t>
      </w:r>
      <w:r w:rsidR="0038338B" w:rsidRPr="003877EB">
        <w:rPr>
          <w:rFonts w:cstheme="minorHAnsi"/>
          <w:sz w:val="20"/>
          <w:szCs w:val="20"/>
        </w:rPr>
        <w:t>,</w:t>
      </w:r>
      <w:r w:rsidRPr="003877EB">
        <w:rPr>
          <w:rFonts w:cstheme="minorHAnsi"/>
          <w:sz w:val="20"/>
          <w:szCs w:val="20"/>
        </w:rPr>
        <w:t xml:space="preserve"> con determina </w:t>
      </w:r>
      <w:r w:rsidR="0038338B" w:rsidRPr="003877EB">
        <w:rPr>
          <w:rFonts w:cstheme="minorHAnsi"/>
          <w:sz w:val="20"/>
          <w:szCs w:val="20"/>
        </w:rPr>
        <w:t xml:space="preserve">n. 50 del 20/02/2024 </w:t>
      </w:r>
      <w:r w:rsidRPr="003877EB">
        <w:rPr>
          <w:rFonts w:cstheme="minorHAnsi"/>
          <w:sz w:val="20"/>
          <w:szCs w:val="20"/>
        </w:rPr>
        <w:t>del Direttore Generale</w:t>
      </w:r>
      <w:r w:rsidR="0038338B" w:rsidRPr="003877EB">
        <w:rPr>
          <w:rFonts w:cstheme="minorHAnsi"/>
          <w:sz w:val="20"/>
          <w:szCs w:val="20"/>
        </w:rPr>
        <w:t xml:space="preserve"> -</w:t>
      </w:r>
      <w:r w:rsidRPr="003877EB">
        <w:rPr>
          <w:rFonts w:cstheme="minorHAnsi"/>
          <w:sz w:val="20"/>
          <w:szCs w:val="20"/>
        </w:rPr>
        <w:t xml:space="preserve"> </w:t>
      </w:r>
      <w:r w:rsidR="0038338B" w:rsidRPr="003877EB">
        <w:rPr>
          <w:rFonts w:cstheme="minorHAnsi"/>
          <w:sz w:val="20"/>
          <w:szCs w:val="20"/>
        </w:rPr>
        <w:t>in conformità al comma secondo dell’art. 3 del Decreto-legge 22 giugno 2023, n. 75</w:t>
      </w:r>
      <w:r w:rsidR="00831910" w:rsidRPr="003877EB">
        <w:rPr>
          <w:rFonts w:cstheme="minorHAnsi"/>
          <w:sz w:val="20"/>
          <w:szCs w:val="20"/>
        </w:rPr>
        <w:t xml:space="preserve"> e del successivo D.P.C.M. 23 novembre 2023 n. 230</w:t>
      </w:r>
      <w:r w:rsidR="0038338B" w:rsidRPr="003877EB">
        <w:rPr>
          <w:rFonts w:cstheme="minorHAnsi"/>
          <w:sz w:val="20"/>
          <w:szCs w:val="20"/>
        </w:rPr>
        <w:t xml:space="preserve"> - sono entrati a far parte dell’organico INAPP </w:t>
      </w:r>
      <w:r w:rsidRPr="003877EB">
        <w:rPr>
          <w:rFonts w:cstheme="minorHAnsi"/>
          <w:sz w:val="20"/>
          <w:szCs w:val="20"/>
        </w:rPr>
        <w:t xml:space="preserve">131 dipendenti, di cui 123 effettivi presso </w:t>
      </w:r>
      <w:r w:rsidR="0038338B" w:rsidRPr="003877EB">
        <w:rPr>
          <w:rFonts w:cstheme="minorHAnsi"/>
          <w:sz w:val="20"/>
          <w:szCs w:val="20"/>
        </w:rPr>
        <w:t>l’Istituto.</w:t>
      </w:r>
      <w:r w:rsidRPr="003877EB">
        <w:rPr>
          <w:rFonts w:cstheme="minorHAnsi"/>
          <w:sz w:val="20"/>
          <w:szCs w:val="20"/>
        </w:rPr>
        <w:t xml:space="preserve"> </w:t>
      </w:r>
      <w:r w:rsidR="00A63032" w:rsidRPr="003877EB">
        <w:rPr>
          <w:rFonts w:cstheme="minorHAnsi"/>
          <w:sz w:val="20"/>
          <w:szCs w:val="20"/>
        </w:rPr>
        <w:t>Per questa casistica, al fine di</w:t>
      </w:r>
      <w:r w:rsidR="0038338B" w:rsidRPr="003877EB">
        <w:rPr>
          <w:rFonts w:cstheme="minorHAnsi"/>
          <w:sz w:val="20"/>
          <w:szCs w:val="20"/>
        </w:rPr>
        <w:t xml:space="preserve"> poter stimare </w:t>
      </w:r>
      <w:r w:rsidR="00A63032" w:rsidRPr="003877EB">
        <w:rPr>
          <w:rFonts w:cstheme="minorHAnsi"/>
          <w:sz w:val="20"/>
          <w:szCs w:val="20"/>
        </w:rPr>
        <w:t xml:space="preserve">correttamente i dati e renderli omogenei con gli altri dipendenti già in organico, </w:t>
      </w:r>
      <w:r w:rsidR="0038338B" w:rsidRPr="003877EB">
        <w:rPr>
          <w:rFonts w:cstheme="minorHAnsi"/>
          <w:sz w:val="20"/>
          <w:szCs w:val="20"/>
        </w:rPr>
        <w:t>le ore di assenza sono state riproporzionate all’intero anno</w:t>
      </w:r>
      <w:r w:rsidR="003877EB" w:rsidRPr="003877EB">
        <w:rPr>
          <w:rFonts w:cstheme="minorHAnsi"/>
          <w:sz w:val="20"/>
          <w:szCs w:val="20"/>
        </w:rPr>
        <w:t>.</w:t>
      </w:r>
    </w:p>
    <w:p w14:paraId="293A3D78" w14:textId="14D94A1A" w:rsidR="004D6283" w:rsidRPr="00CD7039" w:rsidRDefault="004D6283" w:rsidP="004D628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CD7039">
        <w:rPr>
          <w:rFonts w:cstheme="minorHAnsi"/>
          <w:sz w:val="20"/>
          <w:szCs w:val="20"/>
        </w:rPr>
        <w:t>Per quanto concerne, invece la serie storica, sono stati presi in considerazione i valori riferiti alle seguenti voci: maternità e congedi parentali; malattia; permessi per matrimonio, lutto, gravi motivi; L. 104; permessi e assemblee sindacali; diritto allo studio; formazione professionale; formazione, permessi R.L.S (</w:t>
      </w:r>
      <w:proofErr w:type="spellStart"/>
      <w:r w:rsidRPr="00CD7039">
        <w:rPr>
          <w:rFonts w:cstheme="minorHAnsi"/>
          <w:sz w:val="20"/>
          <w:szCs w:val="20"/>
        </w:rPr>
        <w:t>DLgs</w:t>
      </w:r>
      <w:proofErr w:type="spellEnd"/>
      <w:r w:rsidRPr="00CD7039">
        <w:rPr>
          <w:rFonts w:cstheme="minorHAnsi"/>
          <w:sz w:val="20"/>
          <w:szCs w:val="20"/>
        </w:rPr>
        <w:t>. 81/2008) e s.m. Definiti i valori medi di ore non lavorate delle voci sopracitate, questo è stato sottratto al valore delle ore di lavoro convenzionale annuo, ottenendo così il valore riferito al totale delle ore lavorate annue</w:t>
      </w:r>
      <w:r w:rsidR="00143801" w:rsidRPr="00CD7039">
        <w:rPr>
          <w:rFonts w:cstheme="minorHAnsi"/>
          <w:sz w:val="20"/>
          <w:szCs w:val="20"/>
        </w:rPr>
        <w:t xml:space="preserve"> arrotondato al numero intero</w:t>
      </w:r>
      <w:r w:rsidRPr="00CD7039">
        <w:rPr>
          <w:rFonts w:cstheme="minorHAnsi"/>
          <w:sz w:val="20"/>
          <w:szCs w:val="20"/>
        </w:rPr>
        <w:t>. Tale valore è, quindi, il denominatore per il quale deve essere diviso il valore numeratore riferito al Totale costo lordo annuo omnicomprensivo, ottenendo così le UCS.</w:t>
      </w:r>
    </w:p>
    <w:p w14:paraId="43E74393" w14:textId="73C43E21" w:rsidR="004A246B" w:rsidRPr="00CD7039" w:rsidRDefault="000E720A" w:rsidP="008855B6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L’All</w:t>
      </w:r>
      <w:r w:rsidR="00C62180" w:rsidRPr="00CD7039">
        <w:rPr>
          <w:rFonts w:eastAsia="Verdana" w:cstheme="minorHAnsi"/>
          <w:sz w:val="20"/>
        </w:rPr>
        <w:t>egato</w:t>
      </w:r>
      <w:r w:rsidRPr="00CD7039">
        <w:rPr>
          <w:rFonts w:eastAsia="Verdana" w:cstheme="minorHAnsi"/>
          <w:sz w:val="20"/>
        </w:rPr>
        <w:t xml:space="preserve"> </w:t>
      </w:r>
      <w:r w:rsidR="004648DD" w:rsidRPr="00CD7039">
        <w:rPr>
          <w:rFonts w:eastAsia="Verdana" w:cstheme="minorHAnsi"/>
          <w:sz w:val="20"/>
        </w:rPr>
        <w:t>3</w:t>
      </w:r>
      <w:r w:rsidRPr="00CD7039">
        <w:rPr>
          <w:rFonts w:eastAsia="Verdana" w:cstheme="minorHAnsi"/>
          <w:sz w:val="20"/>
        </w:rPr>
        <w:t xml:space="preserve"> </w:t>
      </w:r>
      <w:r w:rsidR="009200AD">
        <w:rPr>
          <w:rFonts w:eastAsia="Verdana" w:cstheme="minorHAnsi"/>
          <w:sz w:val="20"/>
        </w:rPr>
        <w:t>“Prospetto di calcolo</w:t>
      </w:r>
      <w:r w:rsidR="00117E47" w:rsidRPr="00117E47">
        <w:rPr>
          <w:rFonts w:eastAsia="Verdana" w:cstheme="minorHAnsi"/>
          <w:sz w:val="20"/>
        </w:rPr>
        <w:t xml:space="preserve"> </w:t>
      </w:r>
      <w:r w:rsidR="00117E47">
        <w:rPr>
          <w:rFonts w:eastAsia="Verdana" w:cstheme="minorHAnsi"/>
          <w:sz w:val="20"/>
        </w:rPr>
        <w:t xml:space="preserve">e </w:t>
      </w:r>
      <w:r w:rsidR="00117E47" w:rsidRPr="00117E47">
        <w:rPr>
          <w:rFonts w:eastAsia="Verdana" w:cstheme="minorHAnsi"/>
          <w:sz w:val="20"/>
        </w:rPr>
        <w:t>base dati per le UCS da applicare all’</w:t>
      </w:r>
      <w:proofErr w:type="spellStart"/>
      <w:r w:rsidR="00117E47" w:rsidRPr="00117E47">
        <w:rPr>
          <w:rFonts w:eastAsia="Verdana" w:cstheme="minorHAnsi"/>
          <w:sz w:val="20"/>
        </w:rPr>
        <w:t>annualita</w:t>
      </w:r>
      <w:proofErr w:type="spellEnd"/>
      <w:r w:rsidR="00117E47" w:rsidRPr="00117E47">
        <w:rPr>
          <w:rFonts w:eastAsia="Verdana" w:cstheme="minorHAnsi"/>
          <w:sz w:val="20"/>
        </w:rPr>
        <w:t>̀ 2025</w:t>
      </w:r>
      <w:r w:rsidR="009200AD">
        <w:rPr>
          <w:rFonts w:eastAsia="Verdana" w:cstheme="minorHAnsi"/>
          <w:sz w:val="20"/>
        </w:rPr>
        <w:t xml:space="preserve">” </w:t>
      </w:r>
      <w:r w:rsidRPr="00CD7039">
        <w:rPr>
          <w:rFonts w:eastAsia="Verdana" w:cstheme="minorHAnsi"/>
          <w:sz w:val="20"/>
        </w:rPr>
        <w:t>riporta in dettaglio tutti i dati storici presi in considerazione per il calcolo delle UC</w:t>
      </w:r>
      <w:r w:rsidR="008855B6" w:rsidRPr="00CD7039">
        <w:rPr>
          <w:rFonts w:eastAsia="Verdana" w:cstheme="minorHAnsi"/>
          <w:sz w:val="20"/>
        </w:rPr>
        <w:t>S</w:t>
      </w:r>
      <w:r w:rsidR="00DB6ACB" w:rsidRPr="00CD7039">
        <w:rPr>
          <w:rFonts w:eastAsia="Verdana" w:cstheme="minorHAnsi"/>
          <w:sz w:val="20"/>
        </w:rPr>
        <w:t>.</w:t>
      </w:r>
      <w:r w:rsidR="00576077" w:rsidRPr="00CD7039">
        <w:rPr>
          <w:rFonts w:eastAsia="Verdana" w:cstheme="minorHAnsi"/>
          <w:sz w:val="20"/>
        </w:rPr>
        <w:t xml:space="preserve"> </w:t>
      </w:r>
    </w:p>
    <w:p w14:paraId="1A1849DA" w14:textId="77777777" w:rsidR="008855B6" w:rsidRPr="00CD7039" w:rsidRDefault="008855B6" w:rsidP="008855B6">
      <w:pPr>
        <w:spacing w:after="120" w:line="240" w:lineRule="auto"/>
        <w:jc w:val="both"/>
        <w:rPr>
          <w:rFonts w:eastAsia="Verdana" w:cstheme="minorHAnsi"/>
          <w:sz w:val="20"/>
        </w:rPr>
      </w:pPr>
    </w:p>
    <w:p w14:paraId="30D5F5CE" w14:textId="67CA0994" w:rsidR="008855B6" w:rsidRPr="00520837" w:rsidRDefault="008855B6" w:rsidP="00520837">
      <w:pPr>
        <w:pStyle w:val="titolo10"/>
        <w:numPr>
          <w:ilvl w:val="0"/>
          <w:numId w:val="10"/>
        </w:numPr>
        <w:tabs>
          <w:tab w:val="clear" w:pos="709"/>
        </w:tabs>
        <w:ind w:left="360"/>
      </w:pPr>
      <w:r w:rsidRPr="00520837">
        <w:t>Definizione delle UCS in relazione a ciascuna qualifica, livello e fascia</w:t>
      </w:r>
    </w:p>
    <w:p w14:paraId="1B43AFDD" w14:textId="021C81A1" w:rsidR="008855B6" w:rsidRPr="00CD7039" w:rsidRDefault="008855B6" w:rsidP="008855B6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 xml:space="preserve">Come già rappresentato al punto precedente, si è proceduto alla definizione dei valori delle UCS, dividendo i valori riferiti al totale costo lordo annuo omnicomprensivo (ovvero, la somma tra il Totale costo lordo annuo, i Buoni Pasto e la quota riferita alla Produttività) con </w:t>
      </w:r>
      <w:r w:rsidR="00F54F3E" w:rsidRPr="00CD7039">
        <w:rPr>
          <w:rFonts w:eastAsia="Verdana" w:cstheme="minorHAnsi"/>
          <w:sz w:val="20"/>
        </w:rPr>
        <w:t>la media</w:t>
      </w:r>
      <w:r w:rsidRPr="00CD7039">
        <w:rPr>
          <w:rFonts w:eastAsia="Verdana" w:cstheme="minorHAnsi"/>
          <w:sz w:val="20"/>
        </w:rPr>
        <w:t xml:space="preserve"> delle ore lavorate annue. </w:t>
      </w:r>
    </w:p>
    <w:p w14:paraId="4D2390E3" w14:textId="77777777" w:rsidR="008855B6" w:rsidRPr="00CD7039" w:rsidRDefault="008855B6" w:rsidP="008855B6">
      <w:pPr>
        <w:spacing w:after="120" w:line="240" w:lineRule="auto"/>
        <w:jc w:val="both"/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t>Nella tabella che segue si rappresentano i valori riferiti ai singoli elementi presi in considerazione al fine di determinare le UCS, nonché la tabella che illustra i valori utilizzati per la determinazione del totale delle ore lavorate su base annua.</w:t>
      </w:r>
      <w:r w:rsidR="003569C5" w:rsidRPr="00CD7039">
        <w:rPr>
          <w:rFonts w:eastAsia="Verdana" w:cstheme="minorHAnsi"/>
          <w:sz w:val="20"/>
        </w:rPr>
        <w:tab/>
      </w:r>
    </w:p>
    <w:p w14:paraId="13633EAD" w14:textId="771769C1" w:rsidR="00A71D8C" w:rsidRPr="003877EB" w:rsidRDefault="00A71D8C" w:rsidP="005204E9">
      <w:pPr>
        <w:spacing w:after="120" w:line="240" w:lineRule="auto"/>
        <w:jc w:val="both"/>
        <w:rPr>
          <w:rFonts w:eastAsia="Verdana" w:cstheme="minorHAnsi"/>
          <w:sz w:val="20"/>
        </w:rPr>
      </w:pPr>
      <w:r w:rsidRPr="003877EB">
        <w:rPr>
          <w:rFonts w:eastAsia="Verdana" w:cstheme="minorHAnsi"/>
          <w:sz w:val="20"/>
        </w:rPr>
        <w:t xml:space="preserve">In caso di passaggio di qualifica del dipendente nel corso di svolgimento del progetto/operazione, la rendicontazione avverrà tenendo </w:t>
      </w:r>
      <w:r w:rsidR="003877EB" w:rsidRPr="003877EB">
        <w:rPr>
          <w:rFonts w:eastAsia="Verdana" w:cstheme="minorHAnsi"/>
          <w:sz w:val="20"/>
        </w:rPr>
        <w:t xml:space="preserve">conto </w:t>
      </w:r>
      <w:r w:rsidRPr="003877EB">
        <w:rPr>
          <w:rFonts w:eastAsia="Verdana" w:cstheme="minorHAnsi"/>
          <w:sz w:val="20"/>
        </w:rPr>
        <w:t>dell’UCS associata alla nuova qualifica a decorrere dalla data del nuovo inquadramento: in caso di decorrenza in corso di mese, la nuova UCS sarà applicata dal mese successivo.</w:t>
      </w:r>
    </w:p>
    <w:p w14:paraId="4B3EF652" w14:textId="4B051CFC" w:rsidR="00A71D8C" w:rsidRPr="003877EB" w:rsidRDefault="00A71D8C" w:rsidP="005204E9">
      <w:pPr>
        <w:spacing w:after="120" w:line="240" w:lineRule="auto"/>
        <w:jc w:val="both"/>
        <w:rPr>
          <w:rFonts w:eastAsia="Verdana" w:cstheme="minorHAnsi"/>
          <w:sz w:val="20"/>
        </w:rPr>
      </w:pPr>
      <w:r w:rsidRPr="003877EB">
        <w:rPr>
          <w:rFonts w:eastAsia="Verdana" w:cstheme="minorHAnsi"/>
          <w:sz w:val="20"/>
        </w:rPr>
        <w:t>Qualora l’inquadramento nella nuova qualifica comportasse una retroattività degli effetti economici, la nuova UCS non sarà comunque applicata retroattivamente, ma sarà utilizzata solo a decorrere dal mese di adozione del relativo provvedimento di inquadramento.</w:t>
      </w:r>
    </w:p>
    <w:p w14:paraId="3D18F96B" w14:textId="687A3964" w:rsidR="00FA3B6D" w:rsidRPr="00CD7039" w:rsidRDefault="00FA3B6D">
      <w:pPr>
        <w:rPr>
          <w:rFonts w:eastAsia="Verdana" w:cstheme="minorHAnsi"/>
          <w:sz w:val="20"/>
        </w:rPr>
      </w:pPr>
      <w:r w:rsidRPr="00CD7039">
        <w:rPr>
          <w:rFonts w:eastAsia="Verdana" w:cstheme="minorHAnsi"/>
          <w:sz w:val="20"/>
        </w:rPr>
        <w:br w:type="page"/>
      </w:r>
    </w:p>
    <w:p w14:paraId="33F8A4DE" w14:textId="77777777" w:rsidR="00FA3B6D" w:rsidRPr="00CD7039" w:rsidRDefault="00FA3B6D" w:rsidP="008855B6">
      <w:pPr>
        <w:spacing w:after="120" w:line="240" w:lineRule="auto"/>
        <w:jc w:val="both"/>
        <w:rPr>
          <w:rFonts w:eastAsia="Verdana" w:cstheme="minorHAnsi"/>
          <w:sz w:val="20"/>
        </w:rPr>
        <w:sectPr w:rsidR="00FA3B6D" w:rsidRPr="00CD703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E192BF5" w14:textId="40152BAF" w:rsidR="00AC6A8A" w:rsidRPr="00CD7039" w:rsidRDefault="00AC6A8A" w:rsidP="001527AD">
      <w:pPr>
        <w:spacing w:after="120" w:line="240" w:lineRule="auto"/>
        <w:ind w:left="-851"/>
        <w:jc w:val="both"/>
        <w:rPr>
          <w:rFonts w:eastAsia="Times New Roman" w:cstheme="minorHAnsi"/>
          <w:b/>
          <w:color w:val="000000" w:themeColor="text1"/>
          <w:sz w:val="16"/>
        </w:rPr>
      </w:pPr>
      <w:r w:rsidRPr="00CD7039">
        <w:rPr>
          <w:rFonts w:eastAsia="Times New Roman" w:cstheme="minorHAnsi"/>
          <w:b/>
          <w:color w:val="000000" w:themeColor="text1"/>
          <w:sz w:val="16"/>
        </w:rPr>
        <w:lastRenderedPageBreak/>
        <w:t xml:space="preserve">Tab. 1 Definizione delle UCS relative alla voce di costo “Personale” </w:t>
      </w:r>
    </w:p>
    <w:p w14:paraId="37780954" w14:textId="45AEA090" w:rsidR="00D8260F" w:rsidRPr="00CD7039" w:rsidRDefault="00D8260F" w:rsidP="001527AD">
      <w:pPr>
        <w:spacing w:after="120" w:line="240" w:lineRule="auto"/>
        <w:ind w:left="-851"/>
        <w:jc w:val="both"/>
        <w:rPr>
          <w:rFonts w:eastAsia="Times New Roman" w:cstheme="minorHAnsi"/>
          <w:b/>
          <w:color w:val="FF0000"/>
          <w:sz w:val="16"/>
        </w:rPr>
      </w:pPr>
    </w:p>
    <w:p w14:paraId="1A3B93FF" w14:textId="4179E634" w:rsidR="00D8260F" w:rsidRPr="00CD7039" w:rsidRDefault="005F03BB" w:rsidP="001527AD">
      <w:pPr>
        <w:spacing w:after="120" w:line="240" w:lineRule="auto"/>
        <w:ind w:left="-851"/>
        <w:jc w:val="both"/>
        <w:rPr>
          <w:rFonts w:eastAsia="Times New Roman" w:cstheme="minorHAnsi"/>
          <w:b/>
          <w:color w:val="FF0000"/>
          <w:sz w:val="16"/>
        </w:rPr>
      </w:pPr>
      <w:r w:rsidRPr="00CD7039">
        <w:rPr>
          <w:rFonts w:eastAsia="Times New Roman" w:cstheme="minorHAnsi"/>
          <w:b/>
          <w:noProof/>
          <w:color w:val="FF0000"/>
          <w:sz w:val="16"/>
        </w:rPr>
        <w:drawing>
          <wp:inline distT="0" distB="0" distL="0" distR="0" wp14:anchorId="7C813FFD" wp14:editId="0A53D2C6">
            <wp:extent cx="8229600" cy="2016760"/>
            <wp:effectExtent l="0" t="0" r="0" b="2540"/>
            <wp:docPr id="8420295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295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2DEB5" w14:textId="77777777" w:rsidR="00FA3B6D" w:rsidRPr="00CD7039" w:rsidRDefault="00FA3B6D" w:rsidP="001527AD">
      <w:pPr>
        <w:spacing w:after="120" w:line="240" w:lineRule="auto"/>
        <w:ind w:left="-851"/>
        <w:jc w:val="both"/>
        <w:rPr>
          <w:rFonts w:eastAsia="Times New Roman" w:cstheme="minorHAnsi"/>
          <w:b/>
          <w:color w:val="FF0000"/>
          <w:sz w:val="16"/>
        </w:rPr>
      </w:pPr>
    </w:p>
    <w:p w14:paraId="74F50FB7" w14:textId="3D324535" w:rsidR="00AC6A8A" w:rsidRPr="00CD7039" w:rsidRDefault="00AC301D" w:rsidP="001527AD">
      <w:pPr>
        <w:spacing w:after="120" w:line="240" w:lineRule="auto"/>
        <w:ind w:left="-851" w:right="-932"/>
        <w:rPr>
          <w:rFonts w:eastAsia="Times New Roman" w:cstheme="minorHAnsi"/>
          <w:b/>
          <w:sz w:val="16"/>
        </w:rPr>
      </w:pPr>
      <w:r w:rsidRPr="00CD7039">
        <w:rPr>
          <w:rFonts w:eastAsia="Times New Roman" w:cstheme="minorHAnsi"/>
          <w:b/>
          <w:noProof/>
          <w:sz w:val="16"/>
        </w:rPr>
        <w:drawing>
          <wp:inline distT="0" distB="0" distL="0" distR="0" wp14:anchorId="4C95E067" wp14:editId="2EE3287C">
            <wp:extent cx="1986280" cy="1406264"/>
            <wp:effectExtent l="0" t="0" r="0" b="3810"/>
            <wp:docPr id="6017300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300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108" cy="141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CB27B" w14:textId="77777777" w:rsidR="000503D1" w:rsidRPr="00CD7039" w:rsidRDefault="000503D1" w:rsidP="001527AD">
      <w:pPr>
        <w:spacing w:after="120" w:line="240" w:lineRule="auto"/>
        <w:ind w:left="-851"/>
        <w:jc w:val="both"/>
        <w:rPr>
          <w:rFonts w:eastAsia="Times New Roman" w:cstheme="minorHAnsi"/>
          <w:b/>
          <w:color w:val="FF0000"/>
          <w:sz w:val="16"/>
        </w:rPr>
      </w:pPr>
    </w:p>
    <w:p w14:paraId="6A4B91E0" w14:textId="49F889E9" w:rsidR="0069524D" w:rsidRPr="00CD7039" w:rsidRDefault="0069524D" w:rsidP="001527AD">
      <w:pPr>
        <w:spacing w:after="120" w:line="240" w:lineRule="auto"/>
        <w:ind w:left="-851"/>
        <w:jc w:val="both"/>
        <w:rPr>
          <w:rFonts w:eastAsia="Times New Roman" w:cstheme="minorHAnsi"/>
          <w:b/>
          <w:color w:val="FF0000"/>
          <w:sz w:val="16"/>
        </w:rPr>
        <w:sectPr w:rsidR="0069524D" w:rsidRPr="00CD7039" w:rsidSect="00FA3B6D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B61AC11" w14:textId="531CA179" w:rsidR="00AC6A8A" w:rsidRPr="00CD7039" w:rsidRDefault="00AC6A8A" w:rsidP="001527AD">
      <w:pPr>
        <w:spacing w:after="120" w:line="240" w:lineRule="auto"/>
        <w:ind w:left="-851"/>
        <w:jc w:val="both"/>
        <w:rPr>
          <w:rFonts w:eastAsia="Times New Roman" w:cstheme="minorHAnsi"/>
          <w:b/>
          <w:sz w:val="16"/>
        </w:rPr>
      </w:pPr>
    </w:p>
    <w:p w14:paraId="48DB7A32" w14:textId="570FEA03" w:rsidR="00874283" w:rsidRPr="00CD7039" w:rsidRDefault="009A314A">
      <w:pPr>
        <w:spacing w:after="120" w:line="240" w:lineRule="auto"/>
        <w:jc w:val="both"/>
        <w:rPr>
          <w:rFonts w:eastAsia="Times New Roman" w:cstheme="minorHAnsi"/>
        </w:rPr>
      </w:pPr>
      <w:r w:rsidRPr="00CD7039">
        <w:rPr>
          <w:rFonts w:eastAsia="Verdana" w:cstheme="minorHAnsi"/>
          <w:sz w:val="20"/>
        </w:rPr>
        <w:t>Sulla base del calcolo effettuato, si ottengono le seguenti Unita di Costo Standard, come riportato nella tabella che segue</w:t>
      </w:r>
      <w:r w:rsidRPr="00CD7039">
        <w:rPr>
          <w:rFonts w:eastAsia="Times New Roman" w:cstheme="minorHAnsi"/>
        </w:rPr>
        <w:t>:</w:t>
      </w:r>
    </w:p>
    <w:p w14:paraId="101AACA0" w14:textId="77777777" w:rsidR="00AC6A8A" w:rsidRPr="00CD7039" w:rsidRDefault="00AC6A8A" w:rsidP="00AC6A8A">
      <w:pPr>
        <w:spacing w:after="120" w:line="240" w:lineRule="auto"/>
        <w:jc w:val="both"/>
        <w:rPr>
          <w:rFonts w:eastAsia="Times New Roman" w:cstheme="minorHAnsi"/>
          <w:b/>
        </w:rPr>
      </w:pPr>
    </w:p>
    <w:p w14:paraId="06203AB1" w14:textId="4F731234" w:rsidR="00AC6A8A" w:rsidRPr="00CD7039" w:rsidRDefault="00AC6A8A" w:rsidP="00AC6A8A">
      <w:pPr>
        <w:spacing w:after="120" w:line="240" w:lineRule="auto"/>
        <w:jc w:val="both"/>
        <w:rPr>
          <w:rFonts w:eastAsia="Times New Roman" w:cstheme="minorHAnsi"/>
          <w:b/>
          <w:color w:val="000000" w:themeColor="text1"/>
          <w:sz w:val="16"/>
          <w:szCs w:val="16"/>
        </w:rPr>
      </w:pPr>
      <w:r w:rsidRPr="00CD7039">
        <w:rPr>
          <w:rFonts w:eastAsia="Times New Roman" w:cstheme="minorHAnsi"/>
          <w:b/>
          <w:color w:val="000000" w:themeColor="text1"/>
          <w:sz w:val="16"/>
          <w:szCs w:val="16"/>
        </w:rPr>
        <w:t xml:space="preserve">Tabella </w:t>
      </w:r>
      <w:r w:rsidR="000503D1" w:rsidRPr="00CD7039">
        <w:rPr>
          <w:rFonts w:eastAsia="Times New Roman" w:cstheme="minorHAnsi"/>
          <w:b/>
          <w:color w:val="000000" w:themeColor="text1"/>
          <w:sz w:val="16"/>
          <w:szCs w:val="16"/>
        </w:rPr>
        <w:t>2</w:t>
      </w:r>
      <w:r w:rsidRPr="00CD7039">
        <w:rPr>
          <w:rFonts w:eastAsia="Times New Roman" w:cstheme="minorHAnsi"/>
          <w:b/>
          <w:color w:val="000000" w:themeColor="text1"/>
          <w:sz w:val="16"/>
          <w:szCs w:val="16"/>
        </w:rPr>
        <w:t xml:space="preserve"> – Valori delle UCS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2020"/>
        <w:gridCol w:w="892"/>
        <w:gridCol w:w="3241"/>
      </w:tblGrid>
      <w:tr w:rsidR="00FA3B6D" w:rsidRPr="00CD7039" w14:paraId="2FA9441A" w14:textId="77777777" w:rsidTr="00CB33A7">
        <w:trPr>
          <w:trHeight w:val="320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EA47C" w14:textId="77777777" w:rsidR="00FA3B6D" w:rsidRPr="00CD7039" w:rsidRDefault="00FA3B6D" w:rsidP="00FA3B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Qualifica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90F7A" w14:textId="77777777" w:rsidR="00FA3B6D" w:rsidRPr="00CD7039" w:rsidRDefault="00FA3B6D" w:rsidP="00FA3B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Livelli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37A6A" w14:textId="77777777" w:rsidR="00FA3B6D" w:rsidRPr="00CD7039" w:rsidRDefault="00FA3B6D" w:rsidP="00FA3B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Fascia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FBE5BC" w14:textId="53C3CB58" w:rsidR="00FA3B6D" w:rsidRPr="00CD7039" w:rsidRDefault="00FA3B6D" w:rsidP="00FA3B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UCS - Unità di Costo Standard 202</w:t>
            </w:r>
            <w:r w:rsidR="00CB33A7"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354A3" w:rsidRPr="00CD7039" w14:paraId="0B66EB3A" w14:textId="77777777" w:rsidTr="006B6505">
        <w:trPr>
          <w:trHeight w:val="320"/>
        </w:trPr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65504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Dirigenti di ricerca e dirigenti tecnologi</w:t>
            </w:r>
          </w:p>
        </w:tc>
        <w:tc>
          <w:tcPr>
            <w:tcW w:w="10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83D71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9DA5D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F21B" w14:textId="44E7863B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€ 64,88</w:t>
            </w:r>
          </w:p>
        </w:tc>
      </w:tr>
      <w:tr w:rsidR="006354A3" w:rsidRPr="00CD7039" w14:paraId="47DC4741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563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5BF9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E4477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3703" w14:textId="2E9853B6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€ 70,46</w:t>
            </w:r>
          </w:p>
        </w:tc>
      </w:tr>
      <w:tr w:rsidR="006354A3" w:rsidRPr="00CD7039" w14:paraId="6F48FA2E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684B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3B9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7C16D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37AE" w14:textId="63C6731E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€ 76,28</w:t>
            </w:r>
          </w:p>
        </w:tc>
      </w:tr>
      <w:tr w:rsidR="006354A3" w:rsidRPr="00CD7039" w14:paraId="6EB2BBF8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D2C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5192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806AF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4DB4" w14:textId="2CC87A14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€ 82,04</w:t>
            </w:r>
          </w:p>
        </w:tc>
      </w:tr>
      <w:tr w:rsidR="006354A3" w:rsidRPr="00CD7039" w14:paraId="1695F535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012B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400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D349F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A2AF" w14:textId="7A0FAD29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€ 92,60</w:t>
            </w:r>
          </w:p>
        </w:tc>
      </w:tr>
      <w:tr w:rsidR="006354A3" w:rsidRPr="00CD7039" w14:paraId="18BA9DC7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BFCF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1B9A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AADA6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96D0" w14:textId="43A7C0F9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€ 100,57</w:t>
            </w:r>
          </w:p>
        </w:tc>
      </w:tr>
      <w:tr w:rsidR="006354A3" w:rsidRPr="00CD7039" w14:paraId="3E253E6D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AA91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5D43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D8BFD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28AD" w14:textId="22FDFA12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€ 110,90</w:t>
            </w:r>
          </w:p>
        </w:tc>
      </w:tr>
      <w:tr w:rsidR="006354A3" w:rsidRPr="00CD7039" w14:paraId="18A05740" w14:textId="77777777" w:rsidTr="006B6505">
        <w:trPr>
          <w:trHeight w:val="320"/>
        </w:trPr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8C3AD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Primi ricercatori e primi tecnologi</w:t>
            </w:r>
          </w:p>
        </w:tc>
        <w:tc>
          <w:tcPr>
            <w:tcW w:w="10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782C9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1490B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CD50" w14:textId="3EDAE88A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€ 52,07</w:t>
            </w:r>
          </w:p>
        </w:tc>
      </w:tr>
      <w:tr w:rsidR="006354A3" w:rsidRPr="00CD7039" w14:paraId="047D74FA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ECEB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D5D3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7F36B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1BB3" w14:textId="01725F89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€ 56,04</w:t>
            </w:r>
          </w:p>
        </w:tc>
      </w:tr>
      <w:tr w:rsidR="006354A3" w:rsidRPr="00CD7039" w14:paraId="36A29E23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5138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A63D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34448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5AFF" w14:textId="59250532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€ 60,17</w:t>
            </w:r>
          </w:p>
        </w:tc>
      </w:tr>
      <w:tr w:rsidR="006354A3" w:rsidRPr="00CD7039" w14:paraId="780DB632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72B8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B3B0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465A4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246A" w14:textId="5B255296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€ 64,</w:t>
            </w:r>
            <w:r w:rsidR="005F03BB"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29</w:t>
            </w:r>
          </w:p>
        </w:tc>
      </w:tr>
      <w:tr w:rsidR="006354A3" w:rsidRPr="00CD7039" w14:paraId="2C884D41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8524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7BFD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C5E71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0479" w14:textId="5E9770F7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€ 71,25</w:t>
            </w:r>
          </w:p>
        </w:tc>
      </w:tr>
      <w:tr w:rsidR="006354A3" w:rsidRPr="00CD7039" w14:paraId="3246C8FF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9268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4073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65D1D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D323" w14:textId="07C15367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€ 76,99</w:t>
            </w:r>
          </w:p>
        </w:tc>
      </w:tr>
      <w:tr w:rsidR="006354A3" w:rsidRPr="00CD7039" w14:paraId="4701700D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AC09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C777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5CCD0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2453" w14:textId="5E53F592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€ 84,35</w:t>
            </w:r>
          </w:p>
        </w:tc>
      </w:tr>
      <w:tr w:rsidR="006354A3" w:rsidRPr="00CD7039" w14:paraId="23925D7A" w14:textId="77777777" w:rsidTr="006B6505">
        <w:trPr>
          <w:trHeight w:val="320"/>
        </w:trPr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46BC8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Ricercatori e tecnologi</w:t>
            </w:r>
          </w:p>
        </w:tc>
        <w:tc>
          <w:tcPr>
            <w:tcW w:w="10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78EF3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4026E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FD11" w14:textId="775C5F94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€ 42,78</w:t>
            </w:r>
          </w:p>
        </w:tc>
      </w:tr>
      <w:tr w:rsidR="006354A3" w:rsidRPr="00CD7039" w14:paraId="0BA95C86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E52A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5FE9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85DD0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CB41" w14:textId="76A7D5FF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€ 45,47</w:t>
            </w:r>
          </w:p>
        </w:tc>
      </w:tr>
      <w:tr w:rsidR="006354A3" w:rsidRPr="00CD7039" w14:paraId="005E2D9A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4755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9319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7EC71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7408" w14:textId="14E9B83C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€ 48,26</w:t>
            </w:r>
          </w:p>
        </w:tc>
      </w:tr>
      <w:tr w:rsidR="006354A3" w:rsidRPr="00CD7039" w14:paraId="5535CAC4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267E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766F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14D34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854E" w14:textId="6DDC8E77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€ 51,13</w:t>
            </w:r>
          </w:p>
        </w:tc>
      </w:tr>
      <w:tr w:rsidR="006354A3" w:rsidRPr="00CD7039" w14:paraId="4347AD28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9B58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4627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0F14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1BA0" w14:textId="1060C4FA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€ 56,23</w:t>
            </w:r>
          </w:p>
        </w:tc>
      </w:tr>
      <w:tr w:rsidR="006354A3" w:rsidRPr="00CD7039" w14:paraId="2673093C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B4D1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953D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4FA70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53C8" w14:textId="76C58095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€ 60,33</w:t>
            </w:r>
          </w:p>
        </w:tc>
      </w:tr>
      <w:tr w:rsidR="006354A3" w:rsidRPr="00CD7039" w14:paraId="0F1D734B" w14:textId="77777777" w:rsidTr="006B6505">
        <w:trPr>
          <w:trHeight w:val="320"/>
        </w:trPr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0AA8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89EE" w14:textId="77777777" w:rsidR="006354A3" w:rsidRPr="00CD7039" w:rsidRDefault="006354A3" w:rsidP="006354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F1A18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F220" w14:textId="427D7AB8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€ 65,57</w:t>
            </w:r>
          </w:p>
        </w:tc>
      </w:tr>
      <w:tr w:rsidR="006354A3" w:rsidRPr="00CD7039" w14:paraId="694BF378" w14:textId="77777777" w:rsidTr="006B6505">
        <w:trPr>
          <w:trHeight w:val="320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CCA87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CTER - FUNZ.AMM.VO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29C6B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7ACFB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F99E" w14:textId="536A144B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€ 48,22</w:t>
            </w:r>
          </w:p>
        </w:tc>
      </w:tr>
      <w:tr w:rsidR="006354A3" w:rsidRPr="00CD7039" w14:paraId="7DAAB16C" w14:textId="77777777" w:rsidTr="006B6505">
        <w:trPr>
          <w:trHeight w:val="560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830F7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CTER - FUNZ.AMM.VO-COLL. AMM.VO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B3C90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F2912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5955" w14:textId="41DAC612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€ 43,33</w:t>
            </w:r>
          </w:p>
        </w:tc>
      </w:tr>
      <w:tr w:rsidR="006354A3" w:rsidRPr="00CD7039" w14:paraId="3339F3F9" w14:textId="77777777" w:rsidTr="006B6505">
        <w:trPr>
          <w:trHeight w:val="320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57F22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CTER - OPE. TEC. - COLL. AMM.VO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AE83D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C1811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2EF2" w14:textId="2EAB2D5F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€ 39,14</w:t>
            </w:r>
          </w:p>
        </w:tc>
      </w:tr>
      <w:tr w:rsidR="006354A3" w:rsidRPr="00CD7039" w14:paraId="51F9F3D1" w14:textId="77777777" w:rsidTr="006B6505">
        <w:trPr>
          <w:trHeight w:val="560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16D40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OPE. TEC.  OPE. AMM.VO COLL. AMM.VO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90944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54774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E722" w14:textId="108CD01B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€ 35,79</w:t>
            </w:r>
          </w:p>
        </w:tc>
      </w:tr>
      <w:tr w:rsidR="006354A3" w:rsidRPr="00CD7039" w14:paraId="5F550F01" w14:textId="77777777" w:rsidTr="006B6505">
        <w:trPr>
          <w:trHeight w:val="320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B8B6A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AUS. TEC. - OPE. TEC. - OPE. AMM.VO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05054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672DF" w14:textId="77777777" w:rsidR="006354A3" w:rsidRPr="00CD7039" w:rsidRDefault="006354A3" w:rsidP="00635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D70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8C02" w14:textId="10F6F193" w:rsidR="006354A3" w:rsidRPr="00CD7039" w:rsidRDefault="006354A3" w:rsidP="006354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D70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€ 33,35</w:t>
            </w:r>
          </w:p>
        </w:tc>
      </w:tr>
    </w:tbl>
    <w:p w14:paraId="3C49885A" w14:textId="77777777" w:rsidR="004349AD" w:rsidRPr="00CD7039" w:rsidRDefault="004349AD" w:rsidP="00AC6A8A">
      <w:pPr>
        <w:spacing w:after="120" w:line="240" w:lineRule="auto"/>
        <w:jc w:val="both"/>
        <w:rPr>
          <w:rFonts w:eastAsia="Times New Roman" w:cstheme="minorHAnsi"/>
          <w:b/>
          <w:color w:val="FF0000"/>
          <w:sz w:val="16"/>
          <w:szCs w:val="16"/>
        </w:rPr>
      </w:pPr>
    </w:p>
    <w:p w14:paraId="32D8FD05" w14:textId="7413C471" w:rsidR="00DA47D2" w:rsidRPr="00CD7039" w:rsidRDefault="00DA47D2" w:rsidP="009E5710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16"/>
          <w:szCs w:val="16"/>
        </w:rPr>
      </w:pPr>
    </w:p>
    <w:p w14:paraId="53A42A59" w14:textId="6C8A5ED5" w:rsidR="00DA47D2" w:rsidRPr="00CD7039" w:rsidRDefault="00DA47D2" w:rsidP="00AC6A8A">
      <w:pPr>
        <w:spacing w:after="120" w:line="240" w:lineRule="auto"/>
        <w:jc w:val="both"/>
        <w:rPr>
          <w:rFonts w:eastAsia="Times New Roman" w:cstheme="minorHAnsi"/>
          <w:b/>
          <w:color w:val="FF0000"/>
          <w:sz w:val="16"/>
          <w:szCs w:val="16"/>
        </w:rPr>
      </w:pPr>
    </w:p>
    <w:p w14:paraId="28E0FF69" w14:textId="77777777" w:rsidR="00AC6A8A" w:rsidRPr="00CD7039" w:rsidRDefault="00AC6A8A" w:rsidP="00AC6A8A">
      <w:pPr>
        <w:spacing w:after="120" w:line="240" w:lineRule="auto"/>
        <w:jc w:val="both"/>
        <w:rPr>
          <w:rFonts w:eastAsia="Times New Roman" w:cstheme="minorHAnsi"/>
          <w:b/>
          <w:sz w:val="16"/>
          <w:szCs w:val="16"/>
        </w:rPr>
      </w:pPr>
    </w:p>
    <w:p w14:paraId="18915A78" w14:textId="1B487E38" w:rsidR="00AC6A8A" w:rsidRPr="00CD7039" w:rsidRDefault="00AC6A8A">
      <w:pPr>
        <w:spacing w:after="120" w:line="240" w:lineRule="auto"/>
        <w:jc w:val="both"/>
        <w:rPr>
          <w:rFonts w:eastAsia="Times New Roman" w:cstheme="minorHAnsi"/>
        </w:rPr>
      </w:pPr>
    </w:p>
    <w:p w14:paraId="471EEEE7" w14:textId="08BFF57A" w:rsidR="00AC6A8A" w:rsidRPr="00CD7039" w:rsidRDefault="00AC6A8A">
      <w:pPr>
        <w:spacing w:after="120" w:line="240" w:lineRule="auto"/>
        <w:jc w:val="both"/>
        <w:rPr>
          <w:rFonts w:eastAsia="Times New Roman" w:cstheme="minorHAnsi"/>
        </w:rPr>
      </w:pPr>
    </w:p>
    <w:p w14:paraId="47390FD4" w14:textId="73210EEE" w:rsidR="00AC6A8A" w:rsidRPr="00CD7039" w:rsidRDefault="00AC6A8A">
      <w:pPr>
        <w:spacing w:after="120" w:line="240" w:lineRule="auto"/>
        <w:jc w:val="both"/>
        <w:rPr>
          <w:rFonts w:eastAsia="Times New Roman" w:cstheme="minorHAnsi"/>
        </w:rPr>
      </w:pPr>
    </w:p>
    <w:p w14:paraId="5646B546" w14:textId="71A51F29" w:rsidR="00AC6A8A" w:rsidRPr="00CD7039" w:rsidRDefault="00AC6A8A">
      <w:pPr>
        <w:spacing w:after="120" w:line="240" w:lineRule="auto"/>
        <w:jc w:val="both"/>
        <w:rPr>
          <w:rFonts w:eastAsia="Times New Roman" w:cstheme="minorHAnsi"/>
        </w:rPr>
      </w:pPr>
    </w:p>
    <w:p w14:paraId="497297C5" w14:textId="2A7A39FA" w:rsidR="007D60B8" w:rsidRPr="00CD7039" w:rsidRDefault="007D60B8" w:rsidP="008855B6">
      <w:pPr>
        <w:rPr>
          <w:rFonts w:eastAsia="Times New Roman" w:cstheme="minorHAnsi"/>
        </w:rPr>
      </w:pPr>
      <w:bookmarkStart w:id="4" w:name="_Toc37243228"/>
      <w:r w:rsidRPr="00CD7039">
        <w:rPr>
          <w:rFonts w:eastAsia="Calibri" w:cstheme="minorHAnsi"/>
          <w:b/>
          <w:sz w:val="20"/>
          <w:szCs w:val="20"/>
          <w:lang w:eastAsia="en-US"/>
        </w:rPr>
        <w:t>Allegati</w:t>
      </w:r>
      <w:bookmarkEnd w:id="4"/>
    </w:p>
    <w:p w14:paraId="4C3539CE" w14:textId="77777777" w:rsidR="007D60B8" w:rsidRPr="00CD7039" w:rsidRDefault="007D60B8" w:rsidP="007D60B8">
      <w:pPr>
        <w:widowControl w:val="0"/>
        <w:spacing w:before="117"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CD7039">
        <w:rPr>
          <w:rFonts w:eastAsia="Times New Roman" w:cstheme="minorHAnsi"/>
          <w:sz w:val="20"/>
          <w:szCs w:val="20"/>
          <w:lang w:eastAsia="en-US"/>
        </w:rPr>
        <w:t>Di seguito si riporta la lista degli allegati alla presente metodologia.</w:t>
      </w:r>
    </w:p>
    <w:p w14:paraId="30F77A7D" w14:textId="77777777" w:rsidR="007D60B8" w:rsidRPr="00CD7039" w:rsidRDefault="007D60B8">
      <w:pPr>
        <w:spacing w:after="0" w:line="240" w:lineRule="auto"/>
        <w:jc w:val="both"/>
        <w:rPr>
          <w:rFonts w:eastAsia="Times New Roman" w:cstheme="minorHAnsi"/>
        </w:rPr>
      </w:pPr>
    </w:p>
    <w:p w14:paraId="2122E168" w14:textId="77777777" w:rsidR="007D60B8" w:rsidRPr="00CD7039" w:rsidRDefault="007D60B8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TableNormal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38"/>
      </w:tblGrid>
      <w:tr w:rsidR="007D60B8" w:rsidRPr="00CD7039" w14:paraId="59055008" w14:textId="77777777" w:rsidTr="00B05414">
        <w:trPr>
          <w:trHeight w:hRule="exact" w:val="718"/>
        </w:trPr>
        <w:tc>
          <w:tcPr>
            <w:tcW w:w="1560" w:type="dxa"/>
            <w:shd w:val="clear" w:color="auto" w:fill="F9BE8F"/>
            <w:vAlign w:val="center"/>
          </w:tcPr>
          <w:p w14:paraId="522E1E02" w14:textId="77777777" w:rsidR="007D60B8" w:rsidRPr="00CD7039" w:rsidRDefault="007D60B8" w:rsidP="007D60B8">
            <w:pPr>
              <w:ind w:left="285" w:right="264" w:hanging="17"/>
              <w:jc w:val="center"/>
              <w:rPr>
                <w:rFonts w:eastAsia="Times New Roman" w:cstheme="minorHAnsi"/>
                <w:b/>
                <w:lang w:val="it-IT"/>
              </w:rPr>
            </w:pPr>
            <w:r w:rsidRPr="00CD7039">
              <w:rPr>
                <w:rFonts w:eastAsia="Times New Roman" w:cstheme="minorHAnsi"/>
                <w:b/>
                <w:w w:val="95"/>
                <w:lang w:val="it-IT"/>
              </w:rPr>
              <w:t xml:space="preserve">Numero </w:t>
            </w:r>
            <w:r w:rsidRPr="00CD7039">
              <w:rPr>
                <w:rFonts w:eastAsia="Times New Roman" w:cstheme="minorHAnsi"/>
                <w:b/>
                <w:lang w:val="it-IT"/>
              </w:rPr>
              <w:t>allegato</w:t>
            </w:r>
          </w:p>
        </w:tc>
        <w:tc>
          <w:tcPr>
            <w:tcW w:w="8538" w:type="dxa"/>
            <w:shd w:val="clear" w:color="auto" w:fill="F9BE8F"/>
            <w:vAlign w:val="center"/>
          </w:tcPr>
          <w:p w14:paraId="4E421AA7" w14:textId="77777777" w:rsidR="007D60B8" w:rsidRPr="00CD7039" w:rsidRDefault="007D60B8" w:rsidP="007D60B8">
            <w:pPr>
              <w:spacing w:before="113"/>
              <w:ind w:left="103"/>
              <w:jc w:val="center"/>
              <w:rPr>
                <w:rFonts w:eastAsia="Times New Roman" w:cstheme="minorHAnsi"/>
                <w:b/>
                <w:lang w:val="it-IT"/>
              </w:rPr>
            </w:pPr>
            <w:r w:rsidRPr="00CD7039">
              <w:rPr>
                <w:rFonts w:eastAsia="Times New Roman" w:cstheme="minorHAnsi"/>
                <w:b/>
                <w:lang w:val="it-IT"/>
              </w:rPr>
              <w:t>Titolo dell’allegato</w:t>
            </w:r>
          </w:p>
        </w:tc>
      </w:tr>
      <w:tr w:rsidR="007D60B8" w:rsidRPr="00CD7039" w14:paraId="680D1172" w14:textId="77777777" w:rsidTr="00B05414">
        <w:trPr>
          <w:trHeight w:hRule="exact" w:val="527"/>
        </w:trPr>
        <w:tc>
          <w:tcPr>
            <w:tcW w:w="1560" w:type="dxa"/>
            <w:vAlign w:val="center"/>
          </w:tcPr>
          <w:p w14:paraId="3BDC3B2B" w14:textId="77777777" w:rsidR="007D60B8" w:rsidRPr="00CD7039" w:rsidRDefault="007D60B8" w:rsidP="007D60B8">
            <w:pPr>
              <w:spacing w:line="223" w:lineRule="exact"/>
              <w:ind w:left="569"/>
              <w:rPr>
                <w:rFonts w:eastAsia="Times New Roman" w:cstheme="minorHAnsi"/>
                <w:color w:val="000000" w:themeColor="text1"/>
              </w:rPr>
            </w:pPr>
            <w:r w:rsidRPr="00CD7039">
              <w:rPr>
                <w:rFonts w:eastAsia="Times New Roman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8538" w:type="dxa"/>
            <w:vAlign w:val="center"/>
          </w:tcPr>
          <w:p w14:paraId="0AD6A88E" w14:textId="397DEBA8" w:rsidR="007D60B8" w:rsidRPr="00CD7039" w:rsidRDefault="00A854A4" w:rsidP="007D60B8">
            <w:pPr>
              <w:spacing w:line="223" w:lineRule="exact"/>
              <w:ind w:left="103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val="it-IT"/>
              </w:rPr>
            </w:pPr>
            <w:r w:rsidRPr="00CD7039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it-IT"/>
              </w:rPr>
              <w:t>Contratto Collettivo Nazionale di Lavoro (CCNL) “Istruzione e Ricerca” settore Ricerca</w:t>
            </w:r>
            <w:r w:rsidR="00D467F8" w:rsidRPr="00CD7039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it-IT"/>
              </w:rPr>
              <w:t>.</w:t>
            </w:r>
          </w:p>
        </w:tc>
      </w:tr>
      <w:tr w:rsidR="007D60B8" w:rsidRPr="00CD7039" w14:paraId="483EF1D8" w14:textId="77777777" w:rsidTr="00B05414">
        <w:trPr>
          <w:trHeight w:hRule="exact" w:val="608"/>
        </w:trPr>
        <w:tc>
          <w:tcPr>
            <w:tcW w:w="1560" w:type="dxa"/>
            <w:vAlign w:val="center"/>
          </w:tcPr>
          <w:p w14:paraId="586335A7" w14:textId="5C2C2B07" w:rsidR="007D60B8" w:rsidRPr="00CD7039" w:rsidRDefault="00576077" w:rsidP="007D60B8">
            <w:pPr>
              <w:spacing w:line="223" w:lineRule="exact"/>
              <w:ind w:left="569"/>
              <w:rPr>
                <w:rFonts w:eastAsia="Times New Roman" w:cstheme="minorHAnsi"/>
                <w:color w:val="000000" w:themeColor="text1"/>
                <w:w w:val="99"/>
              </w:rPr>
            </w:pPr>
            <w:r w:rsidRPr="00CD7039">
              <w:rPr>
                <w:rFonts w:eastAsia="Times New Roman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8538" w:type="dxa"/>
            <w:vAlign w:val="center"/>
          </w:tcPr>
          <w:p w14:paraId="710E2F71" w14:textId="77777777" w:rsidR="007D60B8" w:rsidRPr="00CD7039" w:rsidRDefault="007D60B8" w:rsidP="007D60B8">
            <w:pPr>
              <w:spacing w:line="223" w:lineRule="exact"/>
              <w:ind w:left="103"/>
              <w:jc w:val="both"/>
              <w:rPr>
                <w:rFonts w:eastAsia="Arial Unicode MS" w:cstheme="minorHAnsi"/>
                <w:bCs/>
                <w:noProof/>
                <w:color w:val="000000" w:themeColor="text1"/>
                <w:sz w:val="20"/>
                <w:szCs w:val="20"/>
                <w:lang w:val="it-IT"/>
              </w:rPr>
            </w:pPr>
            <w:r w:rsidRPr="00CD7039">
              <w:rPr>
                <w:rFonts w:eastAsia="Arial Unicode MS" w:cstheme="minorHAnsi"/>
                <w:bCs/>
                <w:noProof/>
                <w:color w:val="000000" w:themeColor="text1"/>
                <w:sz w:val="20"/>
                <w:szCs w:val="20"/>
              </w:rPr>
              <w:t>Contratti integrativi INAPP</w:t>
            </w:r>
          </w:p>
        </w:tc>
      </w:tr>
      <w:tr w:rsidR="00A854A4" w:rsidRPr="00CD7039" w14:paraId="37025B1F" w14:textId="77777777" w:rsidTr="00B05414">
        <w:trPr>
          <w:trHeight w:hRule="exact" w:val="608"/>
        </w:trPr>
        <w:tc>
          <w:tcPr>
            <w:tcW w:w="1560" w:type="dxa"/>
            <w:vAlign w:val="center"/>
          </w:tcPr>
          <w:p w14:paraId="314B8456" w14:textId="12116BBD" w:rsidR="00A854A4" w:rsidRPr="00CD7039" w:rsidRDefault="00576077" w:rsidP="007D60B8">
            <w:pPr>
              <w:spacing w:line="223" w:lineRule="exact"/>
              <w:ind w:left="569"/>
              <w:rPr>
                <w:rFonts w:eastAsia="Times New Roman" w:cstheme="minorHAnsi"/>
                <w:color w:val="000000" w:themeColor="text1"/>
                <w:w w:val="99"/>
              </w:rPr>
            </w:pPr>
            <w:r w:rsidRPr="00CD7039">
              <w:rPr>
                <w:rFonts w:eastAsia="Times New Roman" w:cstheme="minorHAnsi"/>
                <w:color w:val="000000" w:themeColor="text1"/>
                <w:w w:val="99"/>
              </w:rPr>
              <w:t>3</w:t>
            </w:r>
          </w:p>
        </w:tc>
        <w:tc>
          <w:tcPr>
            <w:tcW w:w="8538" w:type="dxa"/>
            <w:vAlign w:val="center"/>
          </w:tcPr>
          <w:p w14:paraId="3920B667" w14:textId="6414675A" w:rsidR="00A854A4" w:rsidRPr="00CD7039" w:rsidRDefault="00DB4B9A" w:rsidP="007D60B8">
            <w:pPr>
              <w:spacing w:line="223" w:lineRule="exact"/>
              <w:ind w:left="103"/>
              <w:jc w:val="both"/>
              <w:rPr>
                <w:rFonts w:eastAsia="Arial Unicode MS" w:cstheme="minorHAnsi"/>
                <w:bCs/>
                <w:noProof/>
                <w:color w:val="000000" w:themeColor="text1"/>
                <w:sz w:val="20"/>
                <w:szCs w:val="20"/>
                <w:lang w:val="it-IT"/>
              </w:rPr>
            </w:pPr>
            <w:r w:rsidRPr="00CD7039">
              <w:rPr>
                <w:rFonts w:eastAsia="Arial Unicode MS" w:cstheme="minorHAnsi"/>
                <w:bCs/>
                <w:noProof/>
                <w:color w:val="000000" w:themeColor="text1"/>
                <w:sz w:val="20"/>
                <w:szCs w:val="20"/>
                <w:lang w:val="it-IT"/>
              </w:rPr>
              <w:t>Prospetto di calcolo e base dati per le UCS da applicare all’annualità 202</w:t>
            </w:r>
            <w:r w:rsidR="008F155F" w:rsidRPr="00CD7039">
              <w:rPr>
                <w:rFonts w:eastAsia="Arial Unicode MS" w:cstheme="minorHAnsi"/>
                <w:bCs/>
                <w:noProof/>
                <w:color w:val="000000" w:themeColor="text1"/>
                <w:sz w:val="20"/>
                <w:szCs w:val="20"/>
                <w:lang w:val="it-IT"/>
              </w:rPr>
              <w:t>5</w:t>
            </w:r>
          </w:p>
        </w:tc>
      </w:tr>
    </w:tbl>
    <w:p w14:paraId="4AB50EF4" w14:textId="77777777" w:rsidR="007D60B8" w:rsidRPr="00CD7039" w:rsidRDefault="007D60B8">
      <w:pPr>
        <w:spacing w:after="0" w:line="240" w:lineRule="auto"/>
        <w:jc w:val="both"/>
        <w:rPr>
          <w:rFonts w:eastAsia="Times New Roman" w:cstheme="minorHAnsi"/>
        </w:rPr>
      </w:pPr>
    </w:p>
    <w:sectPr w:rsidR="007D60B8" w:rsidRPr="00CD7039" w:rsidSect="00DB4B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19B8" w14:textId="77777777" w:rsidR="00940767" w:rsidRDefault="00940767" w:rsidP="00B0045B">
      <w:pPr>
        <w:spacing w:after="0" w:line="240" w:lineRule="auto"/>
      </w:pPr>
      <w:r>
        <w:separator/>
      </w:r>
    </w:p>
  </w:endnote>
  <w:endnote w:type="continuationSeparator" w:id="0">
    <w:p w14:paraId="3545DEE1" w14:textId="77777777" w:rsidR="00940767" w:rsidRDefault="00940767" w:rsidP="00B0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880B" w14:textId="77777777" w:rsidR="00B0045B" w:rsidRDefault="00B0045B">
    <w:pPr>
      <w:pStyle w:val="Pidipagina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68AE61C" w14:textId="77777777" w:rsidR="00B0045B" w:rsidRDefault="00B004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818B" w14:textId="77777777" w:rsidR="00940767" w:rsidRDefault="00940767" w:rsidP="00B0045B">
      <w:pPr>
        <w:spacing w:after="0" w:line="240" w:lineRule="auto"/>
      </w:pPr>
      <w:r>
        <w:separator/>
      </w:r>
    </w:p>
  </w:footnote>
  <w:footnote w:type="continuationSeparator" w:id="0">
    <w:p w14:paraId="058BA4DC" w14:textId="77777777" w:rsidR="00940767" w:rsidRDefault="00940767" w:rsidP="00B0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97DA" w14:textId="77777777" w:rsidR="00230B83" w:rsidRDefault="00230B83" w:rsidP="00230B83">
    <w:pPr>
      <w:pStyle w:val="Default"/>
      <w:tabs>
        <w:tab w:val="left" w:pos="284"/>
        <w:tab w:val="left" w:pos="2268"/>
        <w:tab w:val="left" w:pos="4111"/>
      </w:tabs>
      <w:ind w:right="-427"/>
      <w:jc w:val="center"/>
      <w:rPr>
        <w:b/>
        <w:noProof/>
        <w:lang w:eastAsia="it-IT"/>
      </w:rPr>
    </w:pPr>
    <w:r w:rsidRPr="0095032B">
      <w:rPr>
        <w:noProof/>
      </w:rPr>
      <w:drawing>
        <wp:inline distT="0" distB="0" distL="0" distR="0" wp14:anchorId="2C2875C4" wp14:editId="273AA570">
          <wp:extent cx="4861560" cy="952500"/>
          <wp:effectExtent l="0" t="0" r="0" b="0"/>
          <wp:docPr id="1288519146" name="Immagine 1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146" name="Immagine 11" descr="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B3636" w14:textId="79AF0368" w:rsidR="00E36703" w:rsidRPr="00230B83" w:rsidRDefault="00E36703" w:rsidP="00230B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F18"/>
    <w:multiLevelType w:val="multilevel"/>
    <w:tmpl w:val="E06AC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8F1654"/>
    <w:multiLevelType w:val="multilevel"/>
    <w:tmpl w:val="B3A69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102955"/>
    <w:multiLevelType w:val="hybridMultilevel"/>
    <w:tmpl w:val="94EA707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B29A0"/>
    <w:multiLevelType w:val="multilevel"/>
    <w:tmpl w:val="1C625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93FD3"/>
    <w:multiLevelType w:val="multilevel"/>
    <w:tmpl w:val="8A242B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E3AA8"/>
    <w:multiLevelType w:val="hybridMultilevel"/>
    <w:tmpl w:val="EFCE78AE"/>
    <w:lvl w:ilvl="0" w:tplc="EB966684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6284A"/>
    <w:multiLevelType w:val="multilevel"/>
    <w:tmpl w:val="D57EB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3B413E"/>
    <w:multiLevelType w:val="hybridMultilevel"/>
    <w:tmpl w:val="6428C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42212"/>
    <w:multiLevelType w:val="hybridMultilevel"/>
    <w:tmpl w:val="4FF615F8"/>
    <w:lvl w:ilvl="0" w:tplc="EB966684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31EC2"/>
    <w:multiLevelType w:val="multilevel"/>
    <w:tmpl w:val="1FCAEB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"/>
      <w:lvlJc w:val="left"/>
      <w:rPr>
        <w:rFonts w:ascii="Wingdings" w:hAnsi="Wingding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5399723">
    <w:abstractNumId w:val="6"/>
  </w:num>
  <w:num w:numId="2" w16cid:durableId="1572109931">
    <w:abstractNumId w:val="1"/>
  </w:num>
  <w:num w:numId="3" w16cid:durableId="1755516829">
    <w:abstractNumId w:val="9"/>
  </w:num>
  <w:num w:numId="4" w16cid:durableId="1673071519">
    <w:abstractNumId w:val="4"/>
  </w:num>
  <w:num w:numId="5" w16cid:durableId="715930927">
    <w:abstractNumId w:val="3"/>
  </w:num>
  <w:num w:numId="6" w16cid:durableId="1192063081">
    <w:abstractNumId w:val="0"/>
  </w:num>
  <w:num w:numId="7" w16cid:durableId="468596737">
    <w:abstractNumId w:val="7"/>
  </w:num>
  <w:num w:numId="8" w16cid:durableId="419447643">
    <w:abstractNumId w:val="8"/>
  </w:num>
  <w:num w:numId="9" w16cid:durableId="1371491356">
    <w:abstractNumId w:val="5"/>
  </w:num>
  <w:num w:numId="10" w16cid:durableId="789864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83"/>
    <w:rsid w:val="00022931"/>
    <w:rsid w:val="000366E3"/>
    <w:rsid w:val="00037956"/>
    <w:rsid w:val="00043075"/>
    <w:rsid w:val="0004318E"/>
    <w:rsid w:val="000478B1"/>
    <w:rsid w:val="000503D1"/>
    <w:rsid w:val="00053122"/>
    <w:rsid w:val="000569EC"/>
    <w:rsid w:val="0006205A"/>
    <w:rsid w:val="000762B3"/>
    <w:rsid w:val="00086BB1"/>
    <w:rsid w:val="00087E8C"/>
    <w:rsid w:val="000D37B4"/>
    <w:rsid w:val="000E2BFC"/>
    <w:rsid w:val="000E720A"/>
    <w:rsid w:val="000F0336"/>
    <w:rsid w:val="000F03A4"/>
    <w:rsid w:val="00107318"/>
    <w:rsid w:val="00117E47"/>
    <w:rsid w:val="00130E17"/>
    <w:rsid w:val="00133B64"/>
    <w:rsid w:val="001401FE"/>
    <w:rsid w:val="00143801"/>
    <w:rsid w:val="001527AD"/>
    <w:rsid w:val="00176BAB"/>
    <w:rsid w:val="001963F0"/>
    <w:rsid w:val="001E22C8"/>
    <w:rsid w:val="00214EF6"/>
    <w:rsid w:val="00230B83"/>
    <w:rsid w:val="00235600"/>
    <w:rsid w:val="00261083"/>
    <w:rsid w:val="002702D4"/>
    <w:rsid w:val="00272374"/>
    <w:rsid w:val="00272864"/>
    <w:rsid w:val="002B2226"/>
    <w:rsid w:val="002C62AE"/>
    <w:rsid w:val="00304E67"/>
    <w:rsid w:val="003052CD"/>
    <w:rsid w:val="00316445"/>
    <w:rsid w:val="00320FC1"/>
    <w:rsid w:val="00331F7D"/>
    <w:rsid w:val="00333A53"/>
    <w:rsid w:val="003569C5"/>
    <w:rsid w:val="003813D2"/>
    <w:rsid w:val="0038338B"/>
    <w:rsid w:val="003877EB"/>
    <w:rsid w:val="003942DB"/>
    <w:rsid w:val="003A4470"/>
    <w:rsid w:val="003A690F"/>
    <w:rsid w:val="003B3C39"/>
    <w:rsid w:val="003B7D4D"/>
    <w:rsid w:val="003C0CCA"/>
    <w:rsid w:val="00406B21"/>
    <w:rsid w:val="00410704"/>
    <w:rsid w:val="00427D29"/>
    <w:rsid w:val="004349AD"/>
    <w:rsid w:val="004450E9"/>
    <w:rsid w:val="00447CA9"/>
    <w:rsid w:val="004648DD"/>
    <w:rsid w:val="004823BB"/>
    <w:rsid w:val="0048314E"/>
    <w:rsid w:val="00492C0A"/>
    <w:rsid w:val="0049513B"/>
    <w:rsid w:val="004A246B"/>
    <w:rsid w:val="004D6283"/>
    <w:rsid w:val="004F163C"/>
    <w:rsid w:val="005204E9"/>
    <w:rsid w:val="00520837"/>
    <w:rsid w:val="00523552"/>
    <w:rsid w:val="005442FA"/>
    <w:rsid w:val="00561AA7"/>
    <w:rsid w:val="0056294D"/>
    <w:rsid w:val="0057402D"/>
    <w:rsid w:val="00576077"/>
    <w:rsid w:val="0059044F"/>
    <w:rsid w:val="005B6AE9"/>
    <w:rsid w:val="005D3C58"/>
    <w:rsid w:val="005F03BB"/>
    <w:rsid w:val="005F4CAE"/>
    <w:rsid w:val="0061407F"/>
    <w:rsid w:val="0063170F"/>
    <w:rsid w:val="006354A3"/>
    <w:rsid w:val="0065151A"/>
    <w:rsid w:val="00652560"/>
    <w:rsid w:val="006903BA"/>
    <w:rsid w:val="0069524D"/>
    <w:rsid w:val="006B3EF8"/>
    <w:rsid w:val="006F43FA"/>
    <w:rsid w:val="006F550B"/>
    <w:rsid w:val="006F75E7"/>
    <w:rsid w:val="00701B67"/>
    <w:rsid w:val="00736620"/>
    <w:rsid w:val="007547C8"/>
    <w:rsid w:val="00764C25"/>
    <w:rsid w:val="00777753"/>
    <w:rsid w:val="0078214C"/>
    <w:rsid w:val="007829AB"/>
    <w:rsid w:val="0079782D"/>
    <w:rsid w:val="007C4DD2"/>
    <w:rsid w:val="007D3407"/>
    <w:rsid w:val="007D60B8"/>
    <w:rsid w:val="0081105F"/>
    <w:rsid w:val="00831910"/>
    <w:rsid w:val="00840B34"/>
    <w:rsid w:val="00874283"/>
    <w:rsid w:val="00874609"/>
    <w:rsid w:val="00877929"/>
    <w:rsid w:val="008847F8"/>
    <w:rsid w:val="008855B6"/>
    <w:rsid w:val="008B1BF7"/>
    <w:rsid w:val="008F155F"/>
    <w:rsid w:val="009150A7"/>
    <w:rsid w:val="009155F5"/>
    <w:rsid w:val="009200AD"/>
    <w:rsid w:val="00940767"/>
    <w:rsid w:val="00956AEE"/>
    <w:rsid w:val="00992810"/>
    <w:rsid w:val="00992D36"/>
    <w:rsid w:val="009A314A"/>
    <w:rsid w:val="009B50CA"/>
    <w:rsid w:val="009E3EB2"/>
    <w:rsid w:val="009E5710"/>
    <w:rsid w:val="00A12007"/>
    <w:rsid w:val="00A31686"/>
    <w:rsid w:val="00A37C84"/>
    <w:rsid w:val="00A50433"/>
    <w:rsid w:val="00A55121"/>
    <w:rsid w:val="00A63032"/>
    <w:rsid w:val="00A71D8C"/>
    <w:rsid w:val="00A75191"/>
    <w:rsid w:val="00A854A4"/>
    <w:rsid w:val="00A879B9"/>
    <w:rsid w:val="00AA06AB"/>
    <w:rsid w:val="00AB37A7"/>
    <w:rsid w:val="00AC2407"/>
    <w:rsid w:val="00AC301D"/>
    <w:rsid w:val="00AC6A8A"/>
    <w:rsid w:val="00AE131F"/>
    <w:rsid w:val="00AE6249"/>
    <w:rsid w:val="00AF2652"/>
    <w:rsid w:val="00AF34FA"/>
    <w:rsid w:val="00B0045B"/>
    <w:rsid w:val="00B05414"/>
    <w:rsid w:val="00B05A21"/>
    <w:rsid w:val="00B155D9"/>
    <w:rsid w:val="00B21F75"/>
    <w:rsid w:val="00B527E0"/>
    <w:rsid w:val="00B6470E"/>
    <w:rsid w:val="00B8015C"/>
    <w:rsid w:val="00B90E9B"/>
    <w:rsid w:val="00BB16D2"/>
    <w:rsid w:val="00BB7428"/>
    <w:rsid w:val="00BC0066"/>
    <w:rsid w:val="00C22AFC"/>
    <w:rsid w:val="00C507B8"/>
    <w:rsid w:val="00C52B51"/>
    <w:rsid w:val="00C62180"/>
    <w:rsid w:val="00C669CC"/>
    <w:rsid w:val="00C74CE7"/>
    <w:rsid w:val="00C763D9"/>
    <w:rsid w:val="00C8262D"/>
    <w:rsid w:val="00C96B99"/>
    <w:rsid w:val="00CB33A7"/>
    <w:rsid w:val="00CD7039"/>
    <w:rsid w:val="00CD7797"/>
    <w:rsid w:val="00D0013B"/>
    <w:rsid w:val="00D00FC2"/>
    <w:rsid w:val="00D02955"/>
    <w:rsid w:val="00D058ED"/>
    <w:rsid w:val="00D10C32"/>
    <w:rsid w:val="00D249B4"/>
    <w:rsid w:val="00D467F8"/>
    <w:rsid w:val="00D8260F"/>
    <w:rsid w:val="00DA47D2"/>
    <w:rsid w:val="00DB2C30"/>
    <w:rsid w:val="00DB4B9A"/>
    <w:rsid w:val="00DB6ACB"/>
    <w:rsid w:val="00DC232F"/>
    <w:rsid w:val="00DC2AF1"/>
    <w:rsid w:val="00DC5E19"/>
    <w:rsid w:val="00DC7069"/>
    <w:rsid w:val="00DE496F"/>
    <w:rsid w:val="00DE4F16"/>
    <w:rsid w:val="00DE51C0"/>
    <w:rsid w:val="00DF567C"/>
    <w:rsid w:val="00E02E4C"/>
    <w:rsid w:val="00E11C8E"/>
    <w:rsid w:val="00E24387"/>
    <w:rsid w:val="00E24F09"/>
    <w:rsid w:val="00E36703"/>
    <w:rsid w:val="00E44010"/>
    <w:rsid w:val="00E52CF0"/>
    <w:rsid w:val="00E6199C"/>
    <w:rsid w:val="00E73A47"/>
    <w:rsid w:val="00E83F53"/>
    <w:rsid w:val="00E86C5E"/>
    <w:rsid w:val="00EA00E4"/>
    <w:rsid w:val="00EB7A1A"/>
    <w:rsid w:val="00EE27F0"/>
    <w:rsid w:val="00EE3F82"/>
    <w:rsid w:val="00EE77CF"/>
    <w:rsid w:val="00EF3685"/>
    <w:rsid w:val="00EF4ED9"/>
    <w:rsid w:val="00F021C4"/>
    <w:rsid w:val="00F54F3E"/>
    <w:rsid w:val="00F63D5F"/>
    <w:rsid w:val="00F66C5B"/>
    <w:rsid w:val="00F73D49"/>
    <w:rsid w:val="00FA3B6D"/>
    <w:rsid w:val="00FC39DC"/>
    <w:rsid w:val="00FC77C4"/>
    <w:rsid w:val="00FD6E8B"/>
    <w:rsid w:val="00FE6FE5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A4EA"/>
  <w15:docId w15:val="{2F7671E9-8DA8-5B41-A42E-1E4A24E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D60B8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0B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6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E72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45B"/>
  </w:style>
  <w:style w:type="paragraph" w:styleId="Pidipagina">
    <w:name w:val="footer"/>
    <w:basedOn w:val="Normale"/>
    <w:link w:val="PidipaginaCarattere"/>
    <w:uiPriority w:val="99"/>
    <w:unhideWhenUsed/>
    <w:rsid w:val="00B00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45B"/>
  </w:style>
  <w:style w:type="paragraph" w:styleId="Revisione">
    <w:name w:val="Revision"/>
    <w:hidden/>
    <w:uiPriority w:val="99"/>
    <w:semiHidden/>
    <w:rsid w:val="003942D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C62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C62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C62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62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62AE"/>
    <w:rPr>
      <w:b/>
      <w:bCs/>
      <w:sz w:val="20"/>
      <w:szCs w:val="20"/>
    </w:rPr>
  </w:style>
  <w:style w:type="paragraph" w:customStyle="1" w:styleId="Default">
    <w:name w:val="Default"/>
    <w:uiPriority w:val="99"/>
    <w:rsid w:val="00230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itolo10">
    <w:name w:val="titolo 1"/>
    <w:basedOn w:val="Paragrafoelenco"/>
    <w:link w:val="titolo1Carattere0"/>
    <w:qFormat/>
    <w:rsid w:val="005B6AE9"/>
    <w:pPr>
      <w:keepNext/>
      <w:tabs>
        <w:tab w:val="left" w:pos="709"/>
      </w:tabs>
      <w:suppressAutoHyphens/>
      <w:spacing w:after="120" w:line="240" w:lineRule="auto"/>
      <w:ind w:left="0"/>
      <w:jc w:val="both"/>
      <w:outlineLvl w:val="1"/>
    </w:pPr>
    <w:rPr>
      <w:rFonts w:ascii="Calibri" w:eastAsia="Calibri" w:hAnsi="Calibri" w:cs="Times New Roman"/>
      <w:b/>
      <w:bCs/>
      <w:color w:val="4472C4" w:themeColor="accent1"/>
      <w:lang w:eastAsia="ar-SA"/>
    </w:rPr>
  </w:style>
  <w:style w:type="character" w:customStyle="1" w:styleId="titolo1Carattere0">
    <w:name w:val="titolo 1 Carattere"/>
    <w:basedOn w:val="Carpredefinitoparagrafo"/>
    <w:link w:val="titolo10"/>
    <w:rsid w:val="005B6AE9"/>
    <w:rPr>
      <w:rFonts w:ascii="Calibri" w:eastAsia="Calibri" w:hAnsi="Calibri" w:cs="Times New Roman"/>
      <w:b/>
      <w:bCs/>
      <w:color w:val="4472C4" w:themeColor="accent1"/>
      <w:lang w:eastAsia="ar-SA"/>
    </w:rPr>
  </w:style>
  <w:style w:type="paragraph" w:customStyle="1" w:styleId="titolo2">
    <w:name w:val="titolo 2"/>
    <w:basedOn w:val="Paragrafoelenco"/>
    <w:link w:val="titolo2Carattere"/>
    <w:qFormat/>
    <w:rsid w:val="0059044F"/>
    <w:pPr>
      <w:keepNext/>
      <w:tabs>
        <w:tab w:val="left" w:pos="709"/>
      </w:tabs>
      <w:suppressAutoHyphens/>
      <w:spacing w:after="120" w:line="240" w:lineRule="auto"/>
      <w:ind w:left="0"/>
      <w:jc w:val="both"/>
      <w:outlineLvl w:val="1"/>
    </w:pPr>
    <w:rPr>
      <w:rFonts w:ascii="Calibri" w:eastAsia="Calibri" w:hAnsi="Calibri" w:cs="Times New Roman"/>
      <w:b/>
      <w:bCs/>
      <w:color w:val="4472C4" w:themeColor="accent1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9044F"/>
    <w:rPr>
      <w:rFonts w:ascii="Calibri" w:eastAsia="Calibri" w:hAnsi="Calibri" w:cs="Times New Roman"/>
      <w:b/>
      <w:bCs/>
      <w:color w:val="4472C4" w:themeColor="accent1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FE6FE5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FE6FE5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E6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01AB-73A3-49E1-8302-EDA22DF0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1695</Words>
  <Characters>9664</Characters>
  <Application>Microsoft Office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Magaro'</dc:creator>
  <cp:keywords/>
  <dc:description/>
  <cp:lastModifiedBy>Morreale Stefano</cp:lastModifiedBy>
  <cp:revision>2</cp:revision>
  <cp:lastPrinted>2025-02-07T14:12:00Z</cp:lastPrinted>
  <dcterms:created xsi:type="dcterms:W3CDTF">2025-10-07T10:56:00Z</dcterms:created>
  <dcterms:modified xsi:type="dcterms:W3CDTF">2025-10-07T10:56:00Z</dcterms:modified>
</cp:coreProperties>
</file>